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5D" w:rsidRDefault="006953DA" w:rsidP="006809D7">
      <w:pPr>
        <w:pStyle w:val="Heading1"/>
        <w:spacing w:line="240" w:lineRule="auto"/>
        <w:rPr>
          <w:rFonts w:ascii="Times New Roman" w:hAnsi="Times New Roman" w:cs="Times New Roman"/>
          <w:sz w:val="18"/>
          <w:szCs w:val="18"/>
        </w:rPr>
      </w:pPr>
      <w:sdt>
        <w:sdtPr>
          <w:rPr>
            <w:rStyle w:val="TitleChar"/>
            <w:lang w:val="en-GB" w:bidi="ar-SA"/>
          </w:rPr>
          <w:alias w:val="Title"/>
          <w:id w:val="126073024"/>
          <w:placeholder>
            <w:docPart w:val="D466F7B020E646F6B8AB4EF0572E3E36"/>
          </w:placeholder>
          <w:dataBinding w:prefixMappings="xmlns:ns0='http://schemas.openxmlformats.org/package/2006/metadata/core-properties' xmlns:ns1='http://purl.org/dc/elements/1.1/'" w:xpath="/ns0:coreProperties[1]/ns1:title[1]" w:storeItemID="{6C3C8BC8-F283-45AE-878A-BAB7291924A1}"/>
          <w:text/>
        </w:sdtPr>
        <w:sdtContent>
          <w:r w:rsidR="001851E5">
            <w:rPr>
              <w:rStyle w:val="TitleChar"/>
              <w:color w:val="auto"/>
              <w:lang w:val="en-GB" w:bidi="ar-SA"/>
            </w:rPr>
            <w:t xml:space="preserve">Reducing </w:t>
          </w:r>
          <w:r w:rsidR="00523897">
            <w:rPr>
              <w:rStyle w:val="TitleChar"/>
              <w:color w:val="auto"/>
              <w:lang w:val="en-GB" w:bidi="ar-SA"/>
            </w:rPr>
            <w:t xml:space="preserve">potential </w:t>
          </w:r>
          <w:r w:rsidR="001851E5">
            <w:rPr>
              <w:rStyle w:val="TitleChar"/>
              <w:color w:val="auto"/>
              <w:lang w:val="en-GB" w:bidi="ar-SA"/>
            </w:rPr>
            <w:t>nanot</w:t>
          </w:r>
          <w:r w:rsidR="00523897">
            <w:rPr>
              <w:rStyle w:val="TitleChar"/>
              <w:color w:val="auto"/>
              <w:lang w:val="en-GB" w:bidi="ar-SA"/>
            </w:rPr>
            <w:t xml:space="preserve">oxicity </w:t>
          </w:r>
          <w:r w:rsidR="001851E5">
            <w:rPr>
              <w:rStyle w:val="TitleChar"/>
              <w:color w:val="auto"/>
              <w:lang w:val="en-GB" w:bidi="ar-SA"/>
            </w:rPr>
            <w:t xml:space="preserve">of </w:t>
          </w:r>
          <w:r w:rsidR="00523897">
            <w:rPr>
              <w:rStyle w:val="TitleChar"/>
              <w:color w:val="auto"/>
              <w:lang w:val="en-GB" w:bidi="ar-SA"/>
            </w:rPr>
            <w:t xml:space="preserve">orthopaedic </w:t>
          </w:r>
          <w:r w:rsidR="001851E5">
            <w:rPr>
              <w:rStyle w:val="TitleChar"/>
              <w:color w:val="auto"/>
              <w:lang w:val="en-GB" w:bidi="ar-SA"/>
            </w:rPr>
            <w:t>implantable devices</w:t>
          </w:r>
        </w:sdtContent>
      </w:sdt>
      <w:r w:rsidR="00E9655D">
        <w:rPr>
          <w:rFonts w:ascii="Times New Roman" w:hAnsi="Times New Roman" w:cs="Times New Roman"/>
          <w:sz w:val="18"/>
          <w:szCs w:val="18"/>
        </w:rPr>
        <w:t xml:space="preserve"> </w:t>
      </w:r>
    </w:p>
    <w:p w:rsidR="00A96F7F" w:rsidRDefault="0076068D" w:rsidP="006809D7">
      <w:pPr>
        <w:spacing w:after="0" w:line="240" w:lineRule="auto"/>
        <w:ind w:left="357"/>
        <w:jc w:val="center"/>
        <w:rPr>
          <w:rFonts w:ascii="Times New Roman" w:hAnsi="Times New Roman" w:cs="Times New Roman"/>
          <w:sz w:val="18"/>
          <w:szCs w:val="18"/>
        </w:rPr>
      </w:pPr>
      <w:r>
        <w:rPr>
          <w:rFonts w:ascii="Times New Roman" w:hAnsi="Times New Roman" w:cs="Times New Roman"/>
          <w:sz w:val="18"/>
          <w:szCs w:val="18"/>
        </w:rPr>
        <w:t>Kris Chettiar</w:t>
      </w:r>
      <w:r w:rsidR="009B4920">
        <w:rPr>
          <w:rFonts w:ascii="Times New Roman" w:hAnsi="Times New Roman" w:cs="Times New Roman"/>
          <w:sz w:val="18"/>
          <w:szCs w:val="18"/>
        </w:rPr>
        <w:t>,</w:t>
      </w:r>
      <w:r>
        <w:rPr>
          <w:rFonts w:ascii="Times New Roman" w:hAnsi="Times New Roman" w:cs="Times New Roman"/>
          <w:sz w:val="18"/>
          <w:szCs w:val="18"/>
        </w:rPr>
        <w:t xml:space="preserve"> </w:t>
      </w:r>
      <w:r w:rsidR="004530C1">
        <w:rPr>
          <w:rFonts w:ascii="Times New Roman" w:hAnsi="Times New Roman" w:cs="Times New Roman"/>
          <w:sz w:val="18"/>
          <w:szCs w:val="18"/>
        </w:rPr>
        <w:t>Mateen</w:t>
      </w:r>
      <w:r>
        <w:rPr>
          <w:rFonts w:ascii="Times New Roman" w:hAnsi="Times New Roman" w:cs="Times New Roman"/>
          <w:sz w:val="18"/>
          <w:szCs w:val="18"/>
        </w:rPr>
        <w:t xml:space="preserve"> Arestu,</w:t>
      </w:r>
      <w:r w:rsidR="009B4920">
        <w:rPr>
          <w:rFonts w:ascii="Times New Roman" w:hAnsi="Times New Roman" w:cs="Times New Roman"/>
          <w:sz w:val="18"/>
          <w:szCs w:val="18"/>
        </w:rPr>
        <w:t xml:space="preserve"> Peter Smitham, </w:t>
      </w:r>
      <w:r w:rsidR="00AB42B8" w:rsidRPr="00186A64">
        <w:rPr>
          <w:rFonts w:ascii="Times New Roman" w:hAnsi="Times New Roman" w:cs="Times New Roman"/>
          <w:b/>
          <w:sz w:val="18"/>
          <w:szCs w:val="18"/>
          <w:u w:val="single"/>
        </w:rPr>
        <w:t>Simon Grange</w:t>
      </w:r>
    </w:p>
    <w:p w:rsidR="005954E0" w:rsidRPr="00AB42B8" w:rsidRDefault="00AB42B8" w:rsidP="006809D7">
      <w:pPr>
        <w:spacing w:after="0" w:line="240" w:lineRule="auto"/>
        <w:ind w:left="357"/>
        <w:jc w:val="center"/>
        <w:rPr>
          <w:rFonts w:ascii="Times New Roman" w:hAnsi="Times New Roman" w:cs="Times New Roman"/>
          <w:sz w:val="18"/>
          <w:szCs w:val="18"/>
        </w:rPr>
      </w:pPr>
      <w:r>
        <w:rPr>
          <w:rFonts w:ascii="Times New Roman" w:hAnsi="Times New Roman" w:cs="Times New Roman"/>
          <w:sz w:val="18"/>
          <w:szCs w:val="18"/>
        </w:rPr>
        <w:t>Alberta Bone and Joint Health Institute, Suite 400, 3820, Hospital Drive NW, Calgary, Canada</w:t>
      </w:r>
    </w:p>
    <w:p w:rsidR="00AB42B8" w:rsidRDefault="00AB42B8" w:rsidP="006809D7">
      <w:pPr>
        <w:spacing w:after="0" w:line="240" w:lineRule="auto"/>
        <w:ind w:left="357"/>
        <w:jc w:val="both"/>
        <w:rPr>
          <w:rFonts w:ascii="Times New Roman" w:hAnsi="Times New Roman" w:cs="Times New Roman"/>
          <w:sz w:val="18"/>
          <w:szCs w:val="18"/>
        </w:rPr>
      </w:pPr>
    </w:p>
    <w:p w:rsidR="00AB42B8" w:rsidRPr="00AB42B8" w:rsidRDefault="00AB42B8" w:rsidP="006809D7">
      <w:pPr>
        <w:spacing w:after="0" w:line="240" w:lineRule="auto"/>
        <w:ind w:left="357"/>
        <w:jc w:val="both"/>
        <w:rPr>
          <w:rFonts w:ascii="Times New Roman" w:hAnsi="Times New Roman" w:cs="Times New Roman"/>
          <w:sz w:val="18"/>
          <w:szCs w:val="18"/>
        </w:rPr>
        <w:sectPr w:rsidR="00AB42B8" w:rsidRPr="00AB42B8" w:rsidSect="008C3A7C">
          <w:headerReference w:type="default" r:id="rId8"/>
          <w:footerReference w:type="default" r:id="rId9"/>
          <w:type w:val="continuous"/>
          <w:pgSz w:w="11906" w:h="16838"/>
          <w:pgMar w:top="1440" w:right="1440" w:bottom="1440" w:left="1440" w:header="708" w:footer="708" w:gutter="0"/>
          <w:cols w:space="708"/>
          <w:titlePg/>
          <w:docGrid w:linePitch="360"/>
        </w:sectPr>
      </w:pPr>
    </w:p>
    <w:p w:rsidR="008D7909" w:rsidRDefault="00186A64" w:rsidP="006809D7">
      <w:pPr>
        <w:spacing w:line="240" w:lineRule="auto"/>
        <w:jc w:val="both"/>
        <w:rPr>
          <w:rFonts w:ascii="Times New Roman" w:hAnsi="Times New Roman" w:cs="Times New Roman"/>
          <w:sz w:val="18"/>
          <w:szCs w:val="18"/>
        </w:rPr>
      </w:pPr>
      <w:r w:rsidRPr="00186A64">
        <w:rPr>
          <w:rFonts w:ascii="Times New Roman" w:hAnsi="Times New Roman" w:cs="Times New Roman"/>
          <w:b/>
          <w:sz w:val="18"/>
          <w:szCs w:val="24"/>
        </w:rPr>
        <w:lastRenderedPageBreak/>
        <w:t>Introduction</w:t>
      </w:r>
      <w:r w:rsidR="00991560">
        <w:rPr>
          <w:rFonts w:ascii="Times New Roman" w:hAnsi="Times New Roman" w:cs="Times New Roman"/>
          <w:b/>
          <w:sz w:val="18"/>
          <w:szCs w:val="24"/>
        </w:rPr>
        <w:t xml:space="preserve">: </w:t>
      </w:r>
      <w:r w:rsidR="00651CD7">
        <w:rPr>
          <w:rFonts w:ascii="Times New Roman" w:hAnsi="Times New Roman" w:cs="Times New Roman"/>
          <w:sz w:val="18"/>
          <w:szCs w:val="24"/>
        </w:rPr>
        <w:t>I</w:t>
      </w:r>
      <w:r w:rsidR="00A94348">
        <w:rPr>
          <w:rFonts w:ascii="Times New Roman" w:hAnsi="Times New Roman" w:cs="Times New Roman"/>
          <w:sz w:val="18"/>
          <w:szCs w:val="24"/>
        </w:rPr>
        <w:t>ntegratin</w:t>
      </w:r>
      <w:r w:rsidR="00651CD7">
        <w:rPr>
          <w:rFonts w:ascii="Times New Roman" w:hAnsi="Times New Roman" w:cs="Times New Roman"/>
          <w:sz w:val="18"/>
          <w:szCs w:val="24"/>
        </w:rPr>
        <w:t>g</w:t>
      </w:r>
      <w:r w:rsidR="00A94348">
        <w:rPr>
          <w:rFonts w:ascii="Times New Roman" w:hAnsi="Times New Roman" w:cs="Times New Roman"/>
          <w:sz w:val="18"/>
          <w:szCs w:val="24"/>
        </w:rPr>
        <w:t xml:space="preserve"> d</w:t>
      </w:r>
      <w:r w:rsidR="00A94348" w:rsidRPr="0080788E">
        <w:rPr>
          <w:rFonts w:ascii="Times New Roman" w:hAnsi="Times New Roman" w:cs="Times New Roman"/>
          <w:sz w:val="18"/>
          <w:szCs w:val="18"/>
        </w:rPr>
        <w:t xml:space="preserve">ata services across the </w:t>
      </w:r>
      <w:r w:rsidR="00651CD7" w:rsidRPr="0080788E">
        <w:rPr>
          <w:rFonts w:ascii="Times New Roman" w:hAnsi="Times New Roman" w:cs="Times New Roman"/>
          <w:sz w:val="18"/>
          <w:szCs w:val="18"/>
        </w:rPr>
        <w:t xml:space="preserve">spectrum of the </w:t>
      </w:r>
      <w:r w:rsidR="00A94348" w:rsidRPr="0080788E">
        <w:rPr>
          <w:rFonts w:ascii="Times New Roman" w:hAnsi="Times New Roman" w:cs="Times New Roman"/>
          <w:sz w:val="18"/>
          <w:szCs w:val="18"/>
        </w:rPr>
        <w:t>life science</w:t>
      </w:r>
      <w:r w:rsidR="00651CD7" w:rsidRPr="0080788E">
        <w:rPr>
          <w:rFonts w:ascii="Times New Roman" w:hAnsi="Times New Roman" w:cs="Times New Roman"/>
          <w:sz w:val="18"/>
          <w:szCs w:val="18"/>
        </w:rPr>
        <w:t>s</w:t>
      </w:r>
      <w:r w:rsidR="00A94348" w:rsidRPr="0080788E">
        <w:rPr>
          <w:rFonts w:ascii="Times New Roman" w:hAnsi="Times New Roman" w:cs="Times New Roman"/>
          <w:sz w:val="18"/>
          <w:szCs w:val="18"/>
        </w:rPr>
        <w:t xml:space="preserve"> </w:t>
      </w:r>
      <w:r w:rsidR="00651CD7" w:rsidRPr="0080788E">
        <w:rPr>
          <w:rFonts w:ascii="Times New Roman" w:hAnsi="Times New Roman" w:cs="Times New Roman"/>
          <w:sz w:val="18"/>
          <w:szCs w:val="18"/>
        </w:rPr>
        <w:t>illustra</w:t>
      </w:r>
      <w:r w:rsidR="00A6583A" w:rsidRPr="0080788E">
        <w:rPr>
          <w:rFonts w:ascii="Times New Roman" w:hAnsi="Times New Roman" w:cs="Times New Roman"/>
          <w:sz w:val="18"/>
          <w:szCs w:val="18"/>
        </w:rPr>
        <w:t>te</w:t>
      </w:r>
      <w:r w:rsidR="0076068D" w:rsidRPr="0080788E">
        <w:rPr>
          <w:rFonts w:ascii="Times New Roman" w:hAnsi="Times New Roman" w:cs="Times New Roman"/>
          <w:sz w:val="18"/>
          <w:szCs w:val="18"/>
        </w:rPr>
        <w:t>s</w:t>
      </w:r>
      <w:r w:rsidR="00A94348" w:rsidRPr="0080788E">
        <w:rPr>
          <w:rFonts w:ascii="Times New Roman" w:hAnsi="Times New Roman" w:cs="Times New Roman"/>
          <w:sz w:val="18"/>
          <w:szCs w:val="18"/>
        </w:rPr>
        <w:t xml:space="preserve"> </w:t>
      </w:r>
      <w:r w:rsidR="00651CD7" w:rsidRPr="0080788E">
        <w:rPr>
          <w:rFonts w:ascii="Times New Roman" w:hAnsi="Times New Roman" w:cs="Times New Roman"/>
          <w:sz w:val="18"/>
          <w:szCs w:val="18"/>
        </w:rPr>
        <w:t xml:space="preserve">the design and development of novel therapies in terms of </w:t>
      </w:r>
      <w:r w:rsidR="0080788E">
        <w:rPr>
          <w:rFonts w:ascii="Times New Roman" w:hAnsi="Times New Roman" w:cs="Times New Roman"/>
          <w:sz w:val="18"/>
          <w:szCs w:val="18"/>
        </w:rPr>
        <w:t>Translational R</w:t>
      </w:r>
      <w:r w:rsidR="00A94348" w:rsidRPr="0080788E">
        <w:rPr>
          <w:rFonts w:ascii="Times New Roman" w:hAnsi="Times New Roman" w:cs="Times New Roman"/>
          <w:sz w:val="18"/>
          <w:szCs w:val="18"/>
        </w:rPr>
        <w:t xml:space="preserve">esearch </w:t>
      </w:r>
      <w:r w:rsidR="00651CD7" w:rsidRPr="0080788E">
        <w:rPr>
          <w:rFonts w:ascii="Times New Roman" w:hAnsi="Times New Roman" w:cs="Times New Roman"/>
          <w:sz w:val="18"/>
          <w:szCs w:val="18"/>
        </w:rPr>
        <w:t xml:space="preserve">(TR) </w:t>
      </w:r>
      <w:r w:rsidR="00A94348" w:rsidRPr="0080788E">
        <w:rPr>
          <w:rFonts w:ascii="Times New Roman" w:hAnsi="Times New Roman" w:cs="Times New Roman"/>
          <w:sz w:val="18"/>
          <w:szCs w:val="18"/>
        </w:rPr>
        <w:t>path</w:t>
      </w:r>
      <w:r w:rsidR="00651CD7" w:rsidRPr="0080788E">
        <w:rPr>
          <w:rFonts w:ascii="Times New Roman" w:hAnsi="Times New Roman" w:cs="Times New Roman"/>
          <w:sz w:val="18"/>
          <w:szCs w:val="18"/>
        </w:rPr>
        <w:t>s. Th</w:t>
      </w:r>
      <w:r w:rsidR="0080788E">
        <w:rPr>
          <w:rFonts w:ascii="Times New Roman" w:hAnsi="Times New Roman" w:cs="Times New Roman"/>
          <w:sz w:val="18"/>
          <w:szCs w:val="18"/>
        </w:rPr>
        <w:t xml:space="preserve">e </w:t>
      </w:r>
      <w:r w:rsidR="0076068D" w:rsidRPr="0080788E">
        <w:rPr>
          <w:rFonts w:ascii="Times New Roman" w:hAnsi="Times New Roman" w:cs="Times New Roman"/>
          <w:sz w:val="18"/>
          <w:szCs w:val="18"/>
        </w:rPr>
        <w:t>aim is to build a</w:t>
      </w:r>
      <w:r w:rsidR="008C3A7C">
        <w:rPr>
          <w:rFonts w:ascii="Times New Roman" w:hAnsi="Times New Roman" w:cs="Times New Roman"/>
          <w:sz w:val="18"/>
          <w:szCs w:val="18"/>
        </w:rPr>
        <w:t xml:space="preserve"> ‘</w:t>
      </w:r>
      <w:r w:rsidR="00E9655D">
        <w:rPr>
          <w:rFonts w:ascii="Times New Roman" w:hAnsi="Times New Roman" w:cs="Times New Roman"/>
          <w:sz w:val="18"/>
          <w:szCs w:val="18"/>
        </w:rPr>
        <w:t>Commons</w:t>
      </w:r>
      <w:r w:rsidR="008C3A7C">
        <w:rPr>
          <w:rFonts w:ascii="Times New Roman" w:hAnsi="Times New Roman" w:cs="Times New Roman"/>
          <w:sz w:val="18"/>
          <w:szCs w:val="18"/>
        </w:rPr>
        <w:t>’</w:t>
      </w:r>
      <w:r w:rsidR="0076068D" w:rsidRPr="0080788E">
        <w:rPr>
          <w:rFonts w:ascii="Times New Roman" w:hAnsi="Times New Roman" w:cs="Times New Roman"/>
          <w:sz w:val="18"/>
          <w:szCs w:val="18"/>
        </w:rPr>
        <w:t xml:space="preserve"> registry from </w:t>
      </w:r>
      <w:r w:rsidR="004530C1" w:rsidRPr="0080788E">
        <w:rPr>
          <w:rFonts w:ascii="Times New Roman" w:hAnsi="Times New Roman" w:cs="Times New Roman"/>
          <w:sz w:val="18"/>
          <w:szCs w:val="18"/>
        </w:rPr>
        <w:t>multiple</w:t>
      </w:r>
      <w:r w:rsidR="0076068D" w:rsidRPr="0080788E">
        <w:rPr>
          <w:rFonts w:ascii="Times New Roman" w:hAnsi="Times New Roman" w:cs="Times New Roman"/>
          <w:sz w:val="18"/>
          <w:szCs w:val="18"/>
        </w:rPr>
        <w:t xml:space="preserve"> centres by allow for open archiving of key characteristics of materials used in the preparation of implantable devices. This sho</w:t>
      </w:r>
      <w:r w:rsidR="00651CD7" w:rsidRPr="0080788E">
        <w:rPr>
          <w:rFonts w:ascii="Times New Roman" w:hAnsi="Times New Roman" w:cs="Times New Roman"/>
          <w:sz w:val="18"/>
          <w:szCs w:val="18"/>
        </w:rPr>
        <w:t xml:space="preserve">uld potentially identify pitfalls </w:t>
      </w:r>
      <w:r w:rsidR="004530C1">
        <w:rPr>
          <w:rFonts w:ascii="Times New Roman" w:hAnsi="Times New Roman" w:cs="Times New Roman"/>
          <w:sz w:val="18"/>
          <w:szCs w:val="18"/>
        </w:rPr>
        <w:t xml:space="preserve">associated with the use of certain materials for specific biomedical applications </w:t>
      </w:r>
      <w:r w:rsidR="009B4920" w:rsidRPr="0080788E">
        <w:rPr>
          <w:rFonts w:ascii="Times New Roman" w:hAnsi="Times New Roman" w:cs="Times New Roman"/>
          <w:sz w:val="18"/>
          <w:szCs w:val="18"/>
        </w:rPr>
        <w:t xml:space="preserve">and alert </w:t>
      </w:r>
      <w:r w:rsidR="00E9655D">
        <w:rPr>
          <w:rFonts w:ascii="Times New Roman" w:hAnsi="Times New Roman" w:cs="Times New Roman"/>
          <w:sz w:val="18"/>
          <w:szCs w:val="18"/>
        </w:rPr>
        <w:t>the community of the potential risks</w:t>
      </w:r>
      <w:r w:rsidR="009B4920" w:rsidRPr="0080788E">
        <w:rPr>
          <w:rFonts w:ascii="Times New Roman" w:hAnsi="Times New Roman" w:cs="Times New Roman"/>
          <w:sz w:val="18"/>
          <w:szCs w:val="18"/>
        </w:rPr>
        <w:t xml:space="preserve"> </w:t>
      </w:r>
      <w:r w:rsidR="00651CD7" w:rsidRPr="0080788E">
        <w:rPr>
          <w:rFonts w:ascii="Times New Roman" w:hAnsi="Times New Roman" w:cs="Times New Roman"/>
          <w:sz w:val="18"/>
          <w:szCs w:val="18"/>
        </w:rPr>
        <w:t>before they occur</w:t>
      </w:r>
      <w:r w:rsidR="00A94348" w:rsidRPr="0080788E">
        <w:rPr>
          <w:rFonts w:ascii="Times New Roman" w:hAnsi="Times New Roman" w:cs="Times New Roman"/>
          <w:sz w:val="18"/>
          <w:szCs w:val="18"/>
        </w:rPr>
        <w:t xml:space="preserve">. </w:t>
      </w:r>
      <w:r w:rsidR="0076068D" w:rsidRPr="0080788E">
        <w:rPr>
          <w:rFonts w:ascii="Times New Roman" w:hAnsi="Times New Roman" w:cs="Times New Roman"/>
          <w:sz w:val="18"/>
          <w:szCs w:val="18"/>
        </w:rPr>
        <w:t>Th</w:t>
      </w:r>
      <w:r w:rsidR="009B4920" w:rsidRPr="0080788E">
        <w:rPr>
          <w:rFonts w:ascii="Times New Roman" w:hAnsi="Times New Roman" w:cs="Times New Roman"/>
          <w:sz w:val="18"/>
          <w:szCs w:val="18"/>
        </w:rPr>
        <w:t>ere is a</w:t>
      </w:r>
      <w:r w:rsidR="00A94348" w:rsidRPr="0080788E">
        <w:rPr>
          <w:rFonts w:ascii="Times New Roman" w:hAnsi="Times New Roman" w:cs="Times New Roman"/>
          <w:sz w:val="18"/>
          <w:szCs w:val="18"/>
        </w:rPr>
        <w:t xml:space="preserve"> perceived clinical need for better ‘upstream</w:t>
      </w:r>
      <w:r w:rsidR="0019592A" w:rsidRPr="0080788E">
        <w:rPr>
          <w:rFonts w:ascii="Times New Roman" w:hAnsi="Times New Roman" w:cs="Times New Roman"/>
          <w:sz w:val="18"/>
          <w:szCs w:val="18"/>
        </w:rPr>
        <w:t>’</w:t>
      </w:r>
      <w:r w:rsidR="00A94348" w:rsidRPr="0080788E">
        <w:rPr>
          <w:rFonts w:ascii="Times New Roman" w:hAnsi="Times New Roman" w:cs="Times New Roman"/>
          <w:sz w:val="18"/>
          <w:szCs w:val="18"/>
        </w:rPr>
        <w:t xml:space="preserve"> understanding of </w:t>
      </w:r>
      <w:r w:rsidR="009B4920" w:rsidRPr="0080788E">
        <w:rPr>
          <w:rFonts w:ascii="Times New Roman" w:hAnsi="Times New Roman" w:cs="Times New Roman"/>
          <w:sz w:val="18"/>
          <w:szCs w:val="18"/>
        </w:rPr>
        <w:t xml:space="preserve">factors that may lead to </w:t>
      </w:r>
      <w:r w:rsidR="00A94348" w:rsidRPr="0080788E">
        <w:rPr>
          <w:rFonts w:ascii="Times New Roman" w:hAnsi="Times New Roman" w:cs="Times New Roman"/>
          <w:sz w:val="18"/>
          <w:szCs w:val="18"/>
        </w:rPr>
        <w:t xml:space="preserve">clinical problems, </w:t>
      </w:r>
      <w:r w:rsidR="004530C1">
        <w:rPr>
          <w:rFonts w:ascii="Times New Roman" w:hAnsi="Times New Roman" w:cs="Times New Roman"/>
          <w:sz w:val="18"/>
          <w:szCs w:val="18"/>
        </w:rPr>
        <w:t>This relates in particula</w:t>
      </w:r>
      <w:r w:rsidR="0076068D" w:rsidRPr="0080788E">
        <w:rPr>
          <w:rFonts w:ascii="Times New Roman" w:hAnsi="Times New Roman" w:cs="Times New Roman"/>
          <w:sz w:val="18"/>
          <w:szCs w:val="18"/>
        </w:rPr>
        <w:t xml:space="preserve">r to </w:t>
      </w:r>
      <w:r w:rsidR="00A6583A" w:rsidRPr="0080788E">
        <w:rPr>
          <w:rFonts w:ascii="Times New Roman" w:hAnsi="Times New Roman" w:cs="Times New Roman"/>
          <w:sz w:val="18"/>
          <w:szCs w:val="18"/>
        </w:rPr>
        <w:t xml:space="preserve">orthopaedic </w:t>
      </w:r>
      <w:r w:rsidR="00A94348" w:rsidRPr="0080788E">
        <w:rPr>
          <w:rFonts w:ascii="Times New Roman" w:hAnsi="Times New Roman" w:cs="Times New Roman"/>
          <w:sz w:val="18"/>
          <w:szCs w:val="18"/>
        </w:rPr>
        <w:t>implant</w:t>
      </w:r>
      <w:r w:rsidR="0076068D" w:rsidRPr="0080788E">
        <w:rPr>
          <w:rFonts w:ascii="Times New Roman" w:hAnsi="Times New Roman" w:cs="Times New Roman"/>
          <w:sz w:val="18"/>
          <w:szCs w:val="18"/>
        </w:rPr>
        <w:t>s</w:t>
      </w:r>
      <w:r w:rsidR="00651CD7" w:rsidRPr="0080788E">
        <w:rPr>
          <w:rFonts w:ascii="Times New Roman" w:hAnsi="Times New Roman" w:cs="Times New Roman"/>
          <w:sz w:val="18"/>
          <w:szCs w:val="18"/>
        </w:rPr>
        <w:t>,</w:t>
      </w:r>
      <w:r w:rsidR="00A94348" w:rsidRPr="0080788E">
        <w:rPr>
          <w:rFonts w:ascii="Times New Roman" w:hAnsi="Times New Roman" w:cs="Times New Roman"/>
          <w:sz w:val="18"/>
          <w:szCs w:val="18"/>
        </w:rPr>
        <w:t xml:space="preserve"> wh</w:t>
      </w:r>
      <w:r w:rsidR="009B4920" w:rsidRPr="0080788E">
        <w:rPr>
          <w:rFonts w:ascii="Times New Roman" w:hAnsi="Times New Roman" w:cs="Times New Roman"/>
          <w:sz w:val="18"/>
          <w:szCs w:val="18"/>
        </w:rPr>
        <w:t>ose</w:t>
      </w:r>
      <w:r w:rsidR="00402CA6" w:rsidRPr="0080788E">
        <w:rPr>
          <w:rFonts w:ascii="Times New Roman" w:hAnsi="Times New Roman" w:cs="Times New Roman"/>
          <w:sz w:val="18"/>
          <w:szCs w:val="18"/>
        </w:rPr>
        <w:t xml:space="preserve"> unanticipated </w:t>
      </w:r>
      <w:r w:rsidR="00A94348" w:rsidRPr="0080788E">
        <w:rPr>
          <w:rFonts w:ascii="Times New Roman" w:hAnsi="Times New Roman" w:cs="Times New Roman"/>
          <w:sz w:val="18"/>
          <w:szCs w:val="18"/>
        </w:rPr>
        <w:t>nano</w:t>
      </w:r>
      <w:r w:rsidR="00E9655D">
        <w:rPr>
          <w:rFonts w:ascii="Times New Roman" w:hAnsi="Times New Roman" w:cs="Times New Roman"/>
          <w:sz w:val="18"/>
          <w:szCs w:val="18"/>
        </w:rPr>
        <w:t>scale</w:t>
      </w:r>
      <w:r w:rsidR="00A94348" w:rsidRPr="0080788E">
        <w:rPr>
          <w:rFonts w:ascii="Times New Roman" w:hAnsi="Times New Roman" w:cs="Times New Roman"/>
          <w:sz w:val="18"/>
          <w:szCs w:val="18"/>
        </w:rPr>
        <w:t xml:space="preserve"> issues have </w:t>
      </w:r>
      <w:r w:rsidR="00402CA6" w:rsidRPr="0080788E">
        <w:rPr>
          <w:rFonts w:ascii="Times New Roman" w:hAnsi="Times New Roman" w:cs="Times New Roman"/>
          <w:sz w:val="18"/>
          <w:szCs w:val="18"/>
        </w:rPr>
        <w:t xml:space="preserve">clinical consequences. </w:t>
      </w:r>
      <w:r w:rsidR="00E9655D">
        <w:rPr>
          <w:rFonts w:ascii="Times New Roman" w:hAnsi="Times New Roman" w:cs="Times New Roman"/>
          <w:sz w:val="18"/>
          <w:szCs w:val="18"/>
        </w:rPr>
        <w:t>It is relevant to all implant types</w:t>
      </w:r>
      <w:r w:rsidR="00BF0CC1">
        <w:rPr>
          <w:rFonts w:ascii="Times New Roman" w:hAnsi="Times New Roman" w:cs="Times New Roman"/>
          <w:sz w:val="18"/>
          <w:szCs w:val="18"/>
        </w:rPr>
        <w:fldChar w:fldCharType="begin"/>
      </w:r>
      <w:r w:rsidR="00960847">
        <w:rPr>
          <w:rFonts w:ascii="Times New Roman" w:hAnsi="Times New Roman" w:cs="Times New Roman"/>
          <w:sz w:val="18"/>
          <w:szCs w:val="18"/>
        </w:rPr>
        <w:instrText xml:space="preserve"> ADDIN REFMGR.CITE &lt;Refman&gt;&lt;Cite&gt;&lt;Author&gt;Art Sedrakyan&lt;/Author&gt;&lt;Year&gt;2012&lt;/Year&gt;&lt;RecNum&gt;2&lt;/RecNum&gt;&lt;IDText&gt;Metal-on-metal failures—in science, regulation, and policy&lt;/IDText&gt;&lt;MDL Ref_Type="Journal"&gt;&lt;Ref_Type&gt;Journal&lt;/Ref_Type&gt;&lt;Ref_ID&gt;2&lt;/Ref_ID&gt;&lt;Title_Primary&gt;Metal-on-metal failures&amp;#x2014;in science, regulation, and policy&lt;/Title_Primary&gt;&lt;Authors_Primary&gt;Art Sedrakyan&lt;/Authors_Primary&gt;&lt;Date_Primary&gt;2012/3/13&lt;/Date_Primary&gt;&lt;Reprint&gt;Not in File&lt;/Reprint&gt;&lt;Start_Page&gt;1176&lt;/Start_Page&gt;&lt;Periodical&gt;Lancet&lt;/Periodical&gt;&lt;Volume&gt;379&lt;/Volume&gt;&lt;Issue&gt;1174&lt;/Issue&gt;&lt;Misc_2&gt;379&lt;/Misc_2&gt;&lt;Misc_3&gt;10.1016/S0140-6736(12)60372-9&lt;/Misc_3&gt;&lt;Address&gt;Weill Cornell Medical College, New York, NY 10065, US&lt;/Address&gt;&lt;ZZ_JournalFull&gt;&lt;f name="System"&gt;Lancet&lt;/f&gt;&lt;/ZZ_JournalFull&gt;&lt;ZZ_WorkformID&gt;1&lt;/ZZ_WorkformID&gt;&lt;/MDL&gt;&lt;/Cite&gt;&lt;/Refman&gt;</w:instrText>
      </w:r>
      <w:r w:rsidR="00BF0CC1">
        <w:rPr>
          <w:rFonts w:ascii="Times New Roman" w:hAnsi="Times New Roman" w:cs="Times New Roman"/>
          <w:sz w:val="18"/>
          <w:szCs w:val="18"/>
        </w:rPr>
        <w:fldChar w:fldCharType="separate"/>
      </w:r>
      <w:r w:rsidR="00BF0CC1">
        <w:rPr>
          <w:rFonts w:ascii="Times New Roman" w:hAnsi="Times New Roman" w:cs="Times New Roman"/>
          <w:noProof/>
          <w:sz w:val="18"/>
          <w:szCs w:val="18"/>
        </w:rPr>
        <w:t>(1)</w:t>
      </w:r>
      <w:r w:rsidR="00BF0CC1">
        <w:rPr>
          <w:rFonts w:ascii="Times New Roman" w:hAnsi="Times New Roman" w:cs="Times New Roman"/>
          <w:sz w:val="18"/>
          <w:szCs w:val="18"/>
        </w:rPr>
        <w:fldChar w:fldCharType="end"/>
      </w:r>
      <w:r w:rsidR="00E9655D">
        <w:rPr>
          <w:rFonts w:ascii="Times New Roman" w:hAnsi="Times New Roman" w:cs="Times New Roman"/>
          <w:sz w:val="18"/>
          <w:szCs w:val="18"/>
        </w:rPr>
        <w:t>.</w:t>
      </w:r>
      <w:r w:rsidR="00E9655D" w:rsidRPr="00E9655D">
        <w:rPr>
          <w:rFonts w:ascii="Times New Roman" w:hAnsi="Times New Roman" w:cs="Times New Roman"/>
          <w:color w:val="FF0000"/>
          <w:sz w:val="18"/>
          <w:szCs w:val="18"/>
        </w:rPr>
        <w:t xml:space="preserve"> </w:t>
      </w:r>
    </w:p>
    <w:p w:rsidR="0029396F" w:rsidRPr="0029396F" w:rsidRDefault="0029396F" w:rsidP="0029396F">
      <w:pPr>
        <w:pStyle w:val="Caption"/>
        <w:framePr w:hSpace="180" w:wrap="around" w:vAnchor="text" w:hAnchor="page" w:x="6271" w:y="327"/>
        <w:spacing w:line="240" w:lineRule="auto"/>
        <w:suppressOverlap/>
        <w:jc w:val="both"/>
        <w:rPr>
          <w:sz w:val="16"/>
        </w:rPr>
      </w:pPr>
      <w:r w:rsidRPr="0029396F">
        <w:rPr>
          <w:sz w:val="16"/>
        </w:rPr>
        <w:t xml:space="preserve">Table </w:t>
      </w:r>
      <w:r w:rsidRPr="0029396F">
        <w:rPr>
          <w:sz w:val="16"/>
        </w:rPr>
        <w:fldChar w:fldCharType="begin"/>
      </w:r>
      <w:r w:rsidRPr="0029396F">
        <w:rPr>
          <w:sz w:val="16"/>
        </w:rPr>
        <w:instrText xml:space="preserve"> SEQ Table \* ARABIC </w:instrText>
      </w:r>
      <w:r w:rsidRPr="0029396F">
        <w:rPr>
          <w:sz w:val="16"/>
        </w:rPr>
        <w:fldChar w:fldCharType="separate"/>
      </w:r>
      <w:r w:rsidR="006C1F3C">
        <w:rPr>
          <w:noProof/>
          <w:sz w:val="16"/>
        </w:rPr>
        <w:t>1</w:t>
      </w:r>
      <w:r w:rsidRPr="0029396F">
        <w:rPr>
          <w:sz w:val="16"/>
        </w:rPr>
        <w:fldChar w:fldCharType="end"/>
      </w:r>
      <w:r w:rsidRPr="0029396F">
        <w:rPr>
          <w:sz w:val="16"/>
        </w:rPr>
        <w:t xml:space="preserve"> LIST OF Some of the tests that are currently analysed, after Marquis et. </w:t>
      </w:r>
      <w:proofErr w:type="gramStart"/>
      <w:r w:rsidRPr="0029396F">
        <w:rPr>
          <w:sz w:val="16"/>
        </w:rPr>
        <w:t>al. (2009) Analytical methods to assess nanoparticle toxicity.</w:t>
      </w:r>
      <w:proofErr w:type="gramEnd"/>
      <w:r w:rsidRPr="0029396F">
        <w:rPr>
          <w:sz w:val="16"/>
        </w:rPr>
        <w:t xml:space="preserve"> Analyst, 134, 425</w:t>
      </w:r>
    </w:p>
    <w:p w:rsidR="00402CA6" w:rsidRPr="0080788E" w:rsidRDefault="00402CA6" w:rsidP="006809D7">
      <w:pPr>
        <w:spacing w:line="240" w:lineRule="auto"/>
        <w:jc w:val="both"/>
        <w:rPr>
          <w:rFonts w:ascii="Times New Roman" w:hAnsi="Times New Roman" w:cs="Times New Roman"/>
          <w:sz w:val="18"/>
          <w:szCs w:val="18"/>
        </w:rPr>
      </w:pPr>
      <w:r w:rsidRPr="0080788E">
        <w:rPr>
          <w:rFonts w:ascii="Times New Roman" w:hAnsi="Times New Roman" w:cs="Times New Roman"/>
          <w:sz w:val="18"/>
          <w:szCs w:val="18"/>
        </w:rPr>
        <w:t>The aim is t</w:t>
      </w:r>
      <w:r w:rsidR="0019592A" w:rsidRPr="0080788E">
        <w:rPr>
          <w:rFonts w:ascii="Times New Roman" w:hAnsi="Times New Roman" w:cs="Times New Roman"/>
          <w:sz w:val="18"/>
          <w:szCs w:val="18"/>
        </w:rPr>
        <w:t xml:space="preserve">o </w:t>
      </w:r>
      <w:r w:rsidR="0076068D" w:rsidRPr="0080788E">
        <w:rPr>
          <w:rFonts w:ascii="Times New Roman" w:hAnsi="Times New Roman" w:cs="Times New Roman"/>
          <w:sz w:val="18"/>
          <w:szCs w:val="18"/>
        </w:rPr>
        <w:t xml:space="preserve">present a set of </w:t>
      </w:r>
      <w:r w:rsidR="004530C1">
        <w:rPr>
          <w:rFonts w:ascii="Times New Roman" w:hAnsi="Times New Roman" w:cs="Times New Roman"/>
          <w:sz w:val="18"/>
          <w:szCs w:val="18"/>
        </w:rPr>
        <w:t>relevant</w:t>
      </w:r>
      <w:r w:rsidR="0076068D" w:rsidRPr="0080788E">
        <w:rPr>
          <w:rFonts w:ascii="Times New Roman" w:hAnsi="Times New Roman" w:cs="Times New Roman"/>
          <w:sz w:val="18"/>
          <w:szCs w:val="18"/>
        </w:rPr>
        <w:t xml:space="preserve"> variables </w:t>
      </w:r>
      <w:r w:rsidR="00E9655D">
        <w:rPr>
          <w:rFonts w:ascii="Times New Roman" w:hAnsi="Times New Roman" w:cs="Times New Roman"/>
          <w:sz w:val="18"/>
          <w:szCs w:val="18"/>
        </w:rPr>
        <w:t xml:space="preserve">and their parameters </w:t>
      </w:r>
      <w:r w:rsidR="0076068D" w:rsidRPr="0080788E">
        <w:rPr>
          <w:rFonts w:ascii="Times New Roman" w:hAnsi="Times New Roman" w:cs="Times New Roman"/>
          <w:sz w:val="18"/>
          <w:szCs w:val="18"/>
        </w:rPr>
        <w:t xml:space="preserve">that can be collected </w:t>
      </w:r>
      <w:r w:rsidR="004530C1" w:rsidRPr="0080788E">
        <w:rPr>
          <w:rFonts w:ascii="Times New Roman" w:hAnsi="Times New Roman" w:cs="Times New Roman"/>
          <w:sz w:val="18"/>
          <w:szCs w:val="18"/>
        </w:rPr>
        <w:t>from</w:t>
      </w:r>
      <w:r w:rsidR="0076068D" w:rsidRPr="0080788E">
        <w:rPr>
          <w:rFonts w:ascii="Times New Roman" w:hAnsi="Times New Roman" w:cs="Times New Roman"/>
          <w:sz w:val="18"/>
          <w:szCs w:val="18"/>
        </w:rPr>
        <w:t xml:space="preserve"> different sites to collate the potential values and risks associated with new materials which potentially offer great advantages – especially with respect to their electrochemical properties. S</w:t>
      </w:r>
      <w:r w:rsidR="00651CD7" w:rsidRPr="0080788E">
        <w:rPr>
          <w:rFonts w:ascii="Times New Roman" w:hAnsi="Times New Roman" w:cs="Times New Roman"/>
          <w:sz w:val="18"/>
          <w:szCs w:val="18"/>
        </w:rPr>
        <w:t xml:space="preserve">harable </w:t>
      </w:r>
      <w:r w:rsidR="00E9655D">
        <w:rPr>
          <w:rFonts w:ascii="Times New Roman" w:hAnsi="Times New Roman" w:cs="Times New Roman"/>
          <w:sz w:val="18"/>
          <w:szCs w:val="18"/>
        </w:rPr>
        <w:t xml:space="preserve">collaborative </w:t>
      </w:r>
      <w:r w:rsidRPr="0080788E">
        <w:rPr>
          <w:rFonts w:ascii="Times New Roman" w:hAnsi="Times New Roman" w:cs="Times New Roman"/>
          <w:sz w:val="18"/>
          <w:szCs w:val="18"/>
        </w:rPr>
        <w:t>d</w:t>
      </w:r>
      <w:r w:rsidR="0019592A" w:rsidRPr="0080788E">
        <w:rPr>
          <w:rFonts w:ascii="Times New Roman" w:hAnsi="Times New Roman" w:cs="Times New Roman"/>
          <w:sz w:val="18"/>
          <w:szCs w:val="18"/>
        </w:rPr>
        <w:t>ataset</w:t>
      </w:r>
      <w:r w:rsidR="00651CD7" w:rsidRPr="0080788E">
        <w:rPr>
          <w:rFonts w:ascii="Times New Roman" w:hAnsi="Times New Roman" w:cs="Times New Roman"/>
          <w:sz w:val="18"/>
          <w:szCs w:val="18"/>
        </w:rPr>
        <w:t>s</w:t>
      </w:r>
      <w:r w:rsidR="009B4920" w:rsidRPr="0080788E">
        <w:rPr>
          <w:rFonts w:ascii="Times New Roman" w:hAnsi="Times New Roman" w:cs="Times New Roman"/>
          <w:sz w:val="18"/>
          <w:szCs w:val="18"/>
        </w:rPr>
        <w:t xml:space="preserve">, </w:t>
      </w:r>
      <w:r w:rsidR="00E9655D">
        <w:rPr>
          <w:rFonts w:ascii="Times New Roman" w:hAnsi="Times New Roman" w:cs="Times New Roman"/>
          <w:sz w:val="18"/>
          <w:szCs w:val="18"/>
        </w:rPr>
        <w:t xml:space="preserve">such as the UK </w:t>
      </w:r>
      <w:r w:rsidR="00E9655D" w:rsidRPr="00E1377A">
        <w:rPr>
          <w:rFonts w:ascii="Times New Roman" w:hAnsi="Times New Roman" w:cs="Times New Roman"/>
          <w:i/>
          <w:sz w:val="18"/>
          <w:szCs w:val="18"/>
        </w:rPr>
        <w:t>National Joint Registry (NJR)</w:t>
      </w:r>
      <w:r w:rsidR="00E9655D">
        <w:rPr>
          <w:rFonts w:ascii="Times New Roman" w:hAnsi="Times New Roman" w:cs="Times New Roman"/>
          <w:sz w:val="18"/>
          <w:szCs w:val="18"/>
        </w:rPr>
        <w:t xml:space="preserve"> for implants but </w:t>
      </w:r>
      <w:r w:rsidR="004530C1" w:rsidRPr="0080788E">
        <w:rPr>
          <w:rFonts w:ascii="Times New Roman" w:hAnsi="Times New Roman" w:cs="Times New Roman"/>
          <w:sz w:val="18"/>
          <w:szCs w:val="18"/>
        </w:rPr>
        <w:t>characterizing</w:t>
      </w:r>
      <w:r w:rsidR="0019592A" w:rsidRPr="0080788E">
        <w:rPr>
          <w:rFonts w:ascii="Times New Roman" w:hAnsi="Times New Roman" w:cs="Times New Roman"/>
          <w:sz w:val="18"/>
          <w:szCs w:val="18"/>
        </w:rPr>
        <w:t xml:space="preserve"> the use </w:t>
      </w:r>
      <w:r w:rsidRPr="0080788E">
        <w:rPr>
          <w:rFonts w:ascii="Times New Roman" w:hAnsi="Times New Roman" w:cs="Times New Roman"/>
          <w:sz w:val="18"/>
          <w:szCs w:val="18"/>
        </w:rPr>
        <w:t>o</w:t>
      </w:r>
      <w:r w:rsidR="0019592A" w:rsidRPr="0080788E">
        <w:rPr>
          <w:rFonts w:ascii="Times New Roman" w:hAnsi="Times New Roman" w:cs="Times New Roman"/>
          <w:sz w:val="18"/>
          <w:szCs w:val="18"/>
        </w:rPr>
        <w:t>f</w:t>
      </w:r>
      <w:r w:rsidRPr="0080788E">
        <w:rPr>
          <w:rFonts w:ascii="Times New Roman" w:hAnsi="Times New Roman" w:cs="Times New Roman"/>
          <w:sz w:val="18"/>
          <w:szCs w:val="18"/>
        </w:rPr>
        <w:t xml:space="preserve"> materials</w:t>
      </w:r>
      <w:r w:rsidR="0019592A" w:rsidRPr="0080788E">
        <w:rPr>
          <w:rFonts w:ascii="Times New Roman" w:hAnsi="Times New Roman" w:cs="Times New Roman"/>
          <w:sz w:val="18"/>
          <w:szCs w:val="18"/>
        </w:rPr>
        <w:t>;</w:t>
      </w:r>
      <w:r w:rsidRPr="0080788E">
        <w:rPr>
          <w:rFonts w:ascii="Times New Roman" w:hAnsi="Times New Roman" w:cs="Times New Roman"/>
          <w:sz w:val="18"/>
          <w:szCs w:val="18"/>
        </w:rPr>
        <w:t xml:space="preserve"> </w:t>
      </w:r>
      <w:r w:rsidR="0076068D" w:rsidRPr="0080788E">
        <w:rPr>
          <w:rFonts w:ascii="Times New Roman" w:hAnsi="Times New Roman" w:cs="Times New Roman"/>
          <w:sz w:val="18"/>
          <w:szCs w:val="18"/>
        </w:rPr>
        <w:t>should</w:t>
      </w:r>
      <w:r w:rsidR="00651CD7" w:rsidRPr="0080788E">
        <w:rPr>
          <w:rFonts w:ascii="Times New Roman" w:hAnsi="Times New Roman" w:cs="Times New Roman"/>
          <w:sz w:val="18"/>
          <w:szCs w:val="18"/>
        </w:rPr>
        <w:t xml:space="preserve"> </w:t>
      </w:r>
      <w:r w:rsidRPr="0080788E">
        <w:rPr>
          <w:rFonts w:ascii="Times New Roman" w:hAnsi="Times New Roman" w:cs="Times New Roman"/>
          <w:sz w:val="18"/>
          <w:szCs w:val="18"/>
        </w:rPr>
        <w:t xml:space="preserve">consider </w:t>
      </w:r>
      <w:r w:rsidR="00A6583A" w:rsidRPr="0080788E">
        <w:rPr>
          <w:rFonts w:ascii="Times New Roman" w:hAnsi="Times New Roman" w:cs="Times New Roman"/>
          <w:sz w:val="18"/>
          <w:szCs w:val="18"/>
        </w:rPr>
        <w:t xml:space="preserve">all available knowledge of </w:t>
      </w:r>
      <w:r w:rsidRPr="0080788E">
        <w:rPr>
          <w:rFonts w:ascii="Times New Roman" w:hAnsi="Times New Roman" w:cs="Times New Roman"/>
          <w:sz w:val="18"/>
          <w:szCs w:val="18"/>
        </w:rPr>
        <w:t xml:space="preserve">their </w:t>
      </w:r>
      <w:r w:rsidR="0019592A" w:rsidRPr="0080788E">
        <w:rPr>
          <w:rFonts w:ascii="Times New Roman" w:hAnsi="Times New Roman" w:cs="Times New Roman"/>
          <w:sz w:val="18"/>
          <w:szCs w:val="18"/>
        </w:rPr>
        <w:t>‘</w:t>
      </w:r>
      <w:r w:rsidRPr="0080788E">
        <w:rPr>
          <w:rFonts w:ascii="Times New Roman" w:hAnsi="Times New Roman" w:cs="Times New Roman"/>
          <w:sz w:val="18"/>
          <w:szCs w:val="18"/>
        </w:rPr>
        <w:t>through life</w:t>
      </w:r>
      <w:r w:rsidR="0019592A" w:rsidRPr="0080788E">
        <w:rPr>
          <w:rFonts w:ascii="Times New Roman" w:hAnsi="Times New Roman" w:cs="Times New Roman"/>
          <w:sz w:val="18"/>
          <w:szCs w:val="18"/>
        </w:rPr>
        <w:t>’</w:t>
      </w:r>
      <w:r w:rsidRPr="0080788E">
        <w:rPr>
          <w:rFonts w:ascii="Times New Roman" w:hAnsi="Times New Roman" w:cs="Times New Roman"/>
          <w:sz w:val="18"/>
          <w:szCs w:val="18"/>
        </w:rPr>
        <w:t xml:space="preserve"> cycle, </w:t>
      </w:r>
      <w:r w:rsidR="004530C1" w:rsidRPr="0080788E">
        <w:rPr>
          <w:rFonts w:ascii="Times New Roman" w:hAnsi="Times New Roman" w:cs="Times New Roman"/>
          <w:sz w:val="18"/>
          <w:szCs w:val="18"/>
        </w:rPr>
        <w:t>minimizing</w:t>
      </w:r>
      <w:r w:rsidRPr="0080788E">
        <w:rPr>
          <w:rFonts w:ascii="Times New Roman" w:hAnsi="Times New Roman" w:cs="Times New Roman"/>
          <w:sz w:val="18"/>
          <w:szCs w:val="18"/>
        </w:rPr>
        <w:t xml:space="preserve"> the risk of </w:t>
      </w:r>
      <w:r w:rsidR="0019592A" w:rsidRPr="0080788E">
        <w:rPr>
          <w:rFonts w:ascii="Times New Roman" w:hAnsi="Times New Roman" w:cs="Times New Roman"/>
          <w:sz w:val="18"/>
          <w:szCs w:val="18"/>
        </w:rPr>
        <w:t xml:space="preserve">developing </w:t>
      </w:r>
      <w:r w:rsidRPr="0080788E">
        <w:rPr>
          <w:rFonts w:ascii="Times New Roman" w:hAnsi="Times New Roman" w:cs="Times New Roman"/>
          <w:sz w:val="18"/>
          <w:szCs w:val="18"/>
        </w:rPr>
        <w:t xml:space="preserve">future potentially adverse bioactive agents.  </w:t>
      </w:r>
    </w:p>
    <w:p w:rsidR="00806F74" w:rsidRPr="0080788E" w:rsidRDefault="00B652DC" w:rsidP="006809D7">
      <w:pPr>
        <w:autoSpaceDE w:val="0"/>
        <w:autoSpaceDN w:val="0"/>
        <w:adjustRightInd w:val="0"/>
        <w:spacing w:after="0" w:line="240" w:lineRule="auto"/>
        <w:jc w:val="both"/>
        <w:rPr>
          <w:rFonts w:ascii="Times New Roman" w:hAnsi="Times New Roman" w:cs="Times New Roman"/>
          <w:sz w:val="18"/>
          <w:szCs w:val="18"/>
          <w:lang w:val="en-GB" w:bidi="ar-SA"/>
        </w:rPr>
      </w:pPr>
      <w:r w:rsidRPr="0080788E">
        <w:rPr>
          <w:rFonts w:ascii="Times New Roman" w:hAnsi="Times New Roman" w:cs="Times New Roman"/>
          <w:b/>
          <w:sz w:val="18"/>
          <w:szCs w:val="18"/>
        </w:rPr>
        <w:t>Methods:</w:t>
      </w:r>
      <w:r w:rsidRPr="0080788E">
        <w:rPr>
          <w:rFonts w:ascii="Times New Roman" w:hAnsi="Times New Roman" w:cs="Times New Roman"/>
          <w:sz w:val="18"/>
          <w:szCs w:val="18"/>
        </w:rPr>
        <w:t xml:space="preserve"> </w:t>
      </w:r>
      <w:r w:rsidR="00806F74" w:rsidRPr="0080788E">
        <w:rPr>
          <w:rFonts w:ascii="Times New Roman" w:hAnsi="Times New Roman" w:cs="Times New Roman"/>
          <w:sz w:val="18"/>
          <w:szCs w:val="18"/>
          <w:lang w:val="en-GB" w:bidi="ar-SA"/>
        </w:rPr>
        <w:t xml:space="preserve">The challenge we currently face is in the management of information regarding new devices that </w:t>
      </w:r>
      <w:r w:rsidR="00E9655D">
        <w:rPr>
          <w:rFonts w:ascii="Times New Roman" w:hAnsi="Times New Roman" w:cs="Times New Roman"/>
          <w:sz w:val="18"/>
          <w:szCs w:val="18"/>
          <w:lang w:val="en-GB" w:bidi="ar-SA"/>
        </w:rPr>
        <w:t xml:space="preserve">have </w:t>
      </w:r>
      <w:r w:rsidR="00806F74" w:rsidRPr="0080788E">
        <w:rPr>
          <w:rFonts w:ascii="Times New Roman" w:hAnsi="Times New Roman" w:cs="Times New Roman"/>
          <w:sz w:val="18"/>
          <w:szCs w:val="18"/>
          <w:lang w:val="en-GB" w:bidi="ar-SA"/>
        </w:rPr>
        <w:t xml:space="preserve">potential strengths and weaknesses. </w:t>
      </w:r>
      <w:r w:rsidR="002B5148">
        <w:rPr>
          <w:rFonts w:ascii="Times New Roman" w:hAnsi="Times New Roman" w:cs="Times New Roman"/>
          <w:sz w:val="18"/>
          <w:szCs w:val="18"/>
          <w:lang w:val="en-GB" w:bidi="ar-SA"/>
        </w:rPr>
        <w:t xml:space="preserve"> With new materials and th</w:t>
      </w:r>
      <w:r w:rsidR="00806F74" w:rsidRPr="0080788E">
        <w:rPr>
          <w:rFonts w:ascii="Times New Roman" w:hAnsi="Times New Roman" w:cs="Times New Roman"/>
          <w:sz w:val="18"/>
          <w:szCs w:val="18"/>
          <w:lang w:val="en-GB" w:bidi="ar-SA"/>
        </w:rPr>
        <w:t xml:space="preserve">e </w:t>
      </w:r>
      <w:r w:rsidR="002B5148" w:rsidRPr="0080788E">
        <w:rPr>
          <w:rFonts w:ascii="Times New Roman" w:hAnsi="Times New Roman" w:cs="Times New Roman"/>
          <w:sz w:val="18"/>
          <w:szCs w:val="18"/>
          <w:lang w:val="en-GB" w:bidi="ar-SA"/>
        </w:rPr>
        <w:t xml:space="preserve">associated </w:t>
      </w:r>
      <w:r w:rsidR="00806F74" w:rsidRPr="0080788E">
        <w:rPr>
          <w:rFonts w:ascii="Times New Roman" w:hAnsi="Times New Roman" w:cs="Times New Roman"/>
          <w:sz w:val="18"/>
          <w:szCs w:val="18"/>
          <w:lang w:val="en-GB" w:bidi="ar-SA"/>
        </w:rPr>
        <w:t>manufacturing processes, there are a myriad of variables that need to be considered. Ultimately we are aiming for the optimum end result in terms of safety and effective</w:t>
      </w:r>
      <w:r w:rsidR="002B5148">
        <w:rPr>
          <w:rFonts w:ascii="Times New Roman" w:hAnsi="Times New Roman" w:cs="Times New Roman"/>
          <w:sz w:val="18"/>
          <w:szCs w:val="18"/>
          <w:lang w:val="en-GB" w:bidi="ar-SA"/>
        </w:rPr>
        <w:t>ness through</w:t>
      </w:r>
      <w:r w:rsidR="00806F74" w:rsidRPr="0080788E">
        <w:rPr>
          <w:rFonts w:ascii="Times New Roman" w:hAnsi="Times New Roman" w:cs="Times New Roman"/>
          <w:sz w:val="18"/>
          <w:szCs w:val="18"/>
          <w:lang w:val="en-GB" w:bidi="ar-SA"/>
        </w:rPr>
        <w:t xml:space="preserve"> </w:t>
      </w:r>
      <w:r w:rsidR="002B5148">
        <w:rPr>
          <w:rFonts w:ascii="Times New Roman" w:hAnsi="Times New Roman" w:cs="Times New Roman"/>
          <w:sz w:val="18"/>
          <w:szCs w:val="18"/>
          <w:lang w:val="en-GB" w:bidi="ar-SA"/>
        </w:rPr>
        <w:t>‘</w:t>
      </w:r>
      <w:r w:rsidR="00806F74" w:rsidRPr="0080788E">
        <w:rPr>
          <w:rFonts w:ascii="Times New Roman" w:hAnsi="Times New Roman" w:cs="Times New Roman"/>
          <w:sz w:val="18"/>
          <w:szCs w:val="18"/>
          <w:lang w:val="en-GB" w:bidi="ar-SA"/>
        </w:rPr>
        <w:t>Longevity</w:t>
      </w:r>
      <w:r w:rsidR="002B5148">
        <w:rPr>
          <w:rFonts w:ascii="Times New Roman" w:hAnsi="Times New Roman" w:cs="Times New Roman"/>
          <w:sz w:val="18"/>
          <w:szCs w:val="18"/>
          <w:lang w:val="en-GB" w:bidi="ar-SA"/>
        </w:rPr>
        <w:t>’ of</w:t>
      </w:r>
      <w:r w:rsidR="00806F74" w:rsidRPr="0080788E">
        <w:rPr>
          <w:rFonts w:ascii="Times New Roman" w:hAnsi="Times New Roman" w:cs="Times New Roman"/>
          <w:sz w:val="18"/>
          <w:szCs w:val="18"/>
          <w:lang w:val="en-GB" w:bidi="ar-SA"/>
        </w:rPr>
        <w:t xml:space="preserve"> implantable devices. </w:t>
      </w:r>
      <w:r w:rsidR="002B5148">
        <w:rPr>
          <w:rFonts w:ascii="Times New Roman" w:hAnsi="Times New Roman" w:cs="Times New Roman"/>
          <w:sz w:val="18"/>
          <w:szCs w:val="18"/>
          <w:lang w:val="en-GB" w:bidi="ar-SA"/>
        </w:rPr>
        <w:t>T</w:t>
      </w:r>
      <w:r w:rsidR="00806F74" w:rsidRPr="0080788E">
        <w:rPr>
          <w:rFonts w:ascii="Times New Roman" w:hAnsi="Times New Roman" w:cs="Times New Roman"/>
          <w:sz w:val="18"/>
          <w:szCs w:val="18"/>
          <w:lang w:val="en-GB" w:bidi="ar-SA"/>
        </w:rPr>
        <w:t xml:space="preserve">here are some materials which are completely inappropriate such as compounds containing </w:t>
      </w:r>
      <w:r w:rsidR="002B5148" w:rsidRPr="0080788E">
        <w:rPr>
          <w:rFonts w:ascii="Times New Roman" w:hAnsi="Times New Roman" w:cs="Times New Roman"/>
          <w:sz w:val="18"/>
          <w:szCs w:val="18"/>
          <w:lang w:val="en-GB" w:bidi="ar-SA"/>
        </w:rPr>
        <w:t>heavy metals (</w:t>
      </w:r>
      <w:r w:rsidR="002B5148" w:rsidRPr="002B5148">
        <w:rPr>
          <w:rFonts w:ascii="Times New Roman" w:hAnsi="Times New Roman" w:cs="Times New Roman"/>
          <w:i/>
          <w:sz w:val="18"/>
          <w:szCs w:val="18"/>
          <w:lang w:val="en-GB" w:bidi="ar-SA"/>
        </w:rPr>
        <w:t>e.g.</w:t>
      </w:r>
      <w:r w:rsidR="002B5148">
        <w:rPr>
          <w:rFonts w:ascii="Times New Roman" w:hAnsi="Times New Roman" w:cs="Times New Roman"/>
          <w:sz w:val="18"/>
          <w:szCs w:val="18"/>
          <w:lang w:val="en-GB" w:bidi="ar-SA"/>
        </w:rPr>
        <w:t xml:space="preserve"> </w:t>
      </w:r>
      <w:r w:rsidR="002B5148" w:rsidRPr="0080788E">
        <w:rPr>
          <w:rFonts w:ascii="Times New Roman" w:hAnsi="Times New Roman" w:cs="Times New Roman"/>
          <w:sz w:val="18"/>
          <w:szCs w:val="18"/>
          <w:lang w:val="en-GB" w:bidi="ar-SA"/>
        </w:rPr>
        <w:t>Mercury)</w:t>
      </w:r>
      <w:r w:rsidR="002B5148">
        <w:rPr>
          <w:rFonts w:ascii="Times New Roman" w:hAnsi="Times New Roman" w:cs="Times New Roman"/>
          <w:sz w:val="18"/>
          <w:szCs w:val="18"/>
          <w:lang w:val="en-GB" w:bidi="ar-SA"/>
        </w:rPr>
        <w:t xml:space="preserve">, </w:t>
      </w:r>
      <w:r w:rsidR="00806F74" w:rsidRPr="0080788E">
        <w:rPr>
          <w:rFonts w:ascii="Times New Roman" w:hAnsi="Times New Roman" w:cs="Times New Roman"/>
          <w:sz w:val="18"/>
          <w:szCs w:val="18"/>
          <w:lang w:val="en-GB" w:bidi="ar-SA"/>
        </w:rPr>
        <w:t xml:space="preserve">which should be </w:t>
      </w:r>
      <w:r w:rsidR="002B5148">
        <w:rPr>
          <w:rFonts w:ascii="Times New Roman" w:hAnsi="Times New Roman" w:cs="Times New Roman"/>
          <w:sz w:val="18"/>
          <w:szCs w:val="18"/>
          <w:lang w:val="en-GB" w:bidi="ar-SA"/>
        </w:rPr>
        <w:t>‘</w:t>
      </w:r>
      <w:r w:rsidR="00806F74" w:rsidRPr="0080788E">
        <w:rPr>
          <w:rFonts w:ascii="Times New Roman" w:hAnsi="Times New Roman" w:cs="Times New Roman"/>
          <w:sz w:val="18"/>
          <w:szCs w:val="18"/>
          <w:lang w:val="en-GB" w:bidi="ar-SA"/>
        </w:rPr>
        <w:t>red flag</w:t>
      </w:r>
      <w:r w:rsidR="002B5148">
        <w:rPr>
          <w:rFonts w:ascii="Times New Roman" w:hAnsi="Times New Roman" w:cs="Times New Roman"/>
          <w:sz w:val="18"/>
          <w:szCs w:val="18"/>
          <w:lang w:val="en-GB" w:bidi="ar-SA"/>
        </w:rPr>
        <w:t>ed’</w:t>
      </w:r>
      <w:r w:rsidR="00806F74" w:rsidRPr="0080788E">
        <w:rPr>
          <w:rFonts w:ascii="Times New Roman" w:hAnsi="Times New Roman" w:cs="Times New Roman"/>
          <w:sz w:val="18"/>
          <w:szCs w:val="18"/>
          <w:lang w:val="en-GB" w:bidi="ar-SA"/>
        </w:rPr>
        <w:t xml:space="preserve"> and never be considered</w:t>
      </w:r>
      <w:r w:rsidR="00E9655D">
        <w:rPr>
          <w:rFonts w:ascii="Times New Roman" w:hAnsi="Times New Roman" w:cs="Times New Roman"/>
          <w:sz w:val="18"/>
          <w:szCs w:val="18"/>
          <w:lang w:val="en-GB" w:bidi="ar-SA"/>
        </w:rPr>
        <w:t xml:space="preserve"> and then those which are currently in use which are controversial, such as devices shedding Cobalt and Chromium particles which are known to be genotoxic</w:t>
      </w:r>
      <w:r w:rsidR="00806F74" w:rsidRPr="0080788E">
        <w:rPr>
          <w:rFonts w:ascii="Times New Roman" w:hAnsi="Times New Roman" w:cs="Times New Roman"/>
          <w:sz w:val="18"/>
          <w:szCs w:val="18"/>
          <w:lang w:val="en-GB" w:bidi="ar-SA"/>
        </w:rPr>
        <w:t>.</w:t>
      </w:r>
    </w:p>
    <w:p w:rsidR="00AF39B6" w:rsidRPr="0080788E" w:rsidRDefault="00AF39B6" w:rsidP="00AF39B6">
      <w:pPr>
        <w:autoSpaceDE w:val="0"/>
        <w:autoSpaceDN w:val="0"/>
        <w:adjustRightInd w:val="0"/>
        <w:spacing w:after="0" w:line="240" w:lineRule="auto"/>
        <w:jc w:val="both"/>
        <w:rPr>
          <w:rFonts w:ascii="Times New Roman" w:hAnsi="Times New Roman" w:cs="Times New Roman"/>
          <w:sz w:val="18"/>
          <w:szCs w:val="18"/>
          <w:lang w:val="en-GB" w:bidi="ar-SA"/>
        </w:rPr>
      </w:pPr>
      <w:r>
        <w:rPr>
          <w:rFonts w:ascii="Times New Roman" w:hAnsi="Times New Roman" w:cs="Times New Roman"/>
          <w:sz w:val="18"/>
          <w:szCs w:val="18"/>
          <w:lang w:val="en-GB" w:bidi="ar-SA"/>
        </w:rPr>
        <w:t xml:space="preserve">Conversely, </w:t>
      </w:r>
      <w:r w:rsidR="00806F74" w:rsidRPr="0080788E">
        <w:rPr>
          <w:rFonts w:ascii="Times New Roman" w:hAnsi="Times New Roman" w:cs="Times New Roman"/>
          <w:sz w:val="18"/>
          <w:szCs w:val="18"/>
          <w:lang w:val="en-GB" w:bidi="ar-SA"/>
        </w:rPr>
        <w:t xml:space="preserve">tried and tested materials such as </w:t>
      </w:r>
      <w:r w:rsidR="002B5148">
        <w:rPr>
          <w:rFonts w:ascii="Times New Roman" w:hAnsi="Times New Roman" w:cs="Times New Roman"/>
          <w:sz w:val="18"/>
          <w:szCs w:val="18"/>
          <w:lang w:val="en-GB" w:bidi="ar-SA"/>
        </w:rPr>
        <w:t>U</w:t>
      </w:r>
      <w:r w:rsidR="00806F74" w:rsidRPr="0080788E">
        <w:rPr>
          <w:rFonts w:ascii="Times New Roman" w:hAnsi="Times New Roman" w:cs="Times New Roman"/>
          <w:sz w:val="18"/>
          <w:szCs w:val="18"/>
          <w:lang w:val="en-GB" w:bidi="ar-SA"/>
        </w:rPr>
        <w:t xml:space="preserve">ltrahigh </w:t>
      </w:r>
      <w:r w:rsidR="002B5148">
        <w:rPr>
          <w:rFonts w:ascii="Times New Roman" w:hAnsi="Times New Roman" w:cs="Times New Roman"/>
          <w:sz w:val="18"/>
          <w:szCs w:val="18"/>
          <w:lang w:val="en-GB" w:bidi="ar-SA"/>
        </w:rPr>
        <w:t>M</w:t>
      </w:r>
      <w:r w:rsidR="00806F74" w:rsidRPr="0080788E">
        <w:rPr>
          <w:rFonts w:ascii="Times New Roman" w:hAnsi="Times New Roman" w:cs="Times New Roman"/>
          <w:sz w:val="18"/>
          <w:szCs w:val="18"/>
          <w:lang w:val="en-GB" w:bidi="ar-SA"/>
        </w:rPr>
        <w:t xml:space="preserve">olecular </w:t>
      </w:r>
      <w:r w:rsidR="002B5148">
        <w:rPr>
          <w:rFonts w:ascii="Times New Roman" w:hAnsi="Times New Roman" w:cs="Times New Roman"/>
          <w:sz w:val="18"/>
          <w:szCs w:val="18"/>
          <w:lang w:val="en-GB" w:bidi="ar-SA"/>
        </w:rPr>
        <w:t>W</w:t>
      </w:r>
      <w:r w:rsidR="00806F74" w:rsidRPr="0080788E">
        <w:rPr>
          <w:rFonts w:ascii="Times New Roman" w:hAnsi="Times New Roman" w:cs="Times New Roman"/>
          <w:sz w:val="18"/>
          <w:szCs w:val="18"/>
          <w:lang w:val="en-GB" w:bidi="ar-SA"/>
        </w:rPr>
        <w:t xml:space="preserve">eight </w:t>
      </w:r>
      <w:r w:rsidR="00E9655D">
        <w:rPr>
          <w:rFonts w:ascii="Times New Roman" w:hAnsi="Times New Roman" w:cs="Times New Roman"/>
          <w:sz w:val="18"/>
          <w:szCs w:val="18"/>
          <w:lang w:val="en-GB" w:bidi="ar-SA"/>
        </w:rPr>
        <w:t>C</w:t>
      </w:r>
      <w:r w:rsidR="00E9655D" w:rsidRPr="0080788E">
        <w:rPr>
          <w:rFonts w:ascii="Times New Roman" w:hAnsi="Times New Roman" w:cs="Times New Roman"/>
          <w:sz w:val="18"/>
          <w:szCs w:val="18"/>
          <w:lang w:val="en-GB" w:bidi="ar-SA"/>
        </w:rPr>
        <w:t>ross-link</w:t>
      </w:r>
      <w:r w:rsidR="00E9655D">
        <w:rPr>
          <w:rFonts w:ascii="Times New Roman" w:hAnsi="Times New Roman" w:cs="Times New Roman"/>
          <w:sz w:val="18"/>
          <w:szCs w:val="18"/>
          <w:lang w:val="en-GB" w:bidi="ar-SA"/>
        </w:rPr>
        <w:t>ed</w:t>
      </w:r>
      <w:r w:rsidR="00E9655D" w:rsidRPr="0080788E">
        <w:rPr>
          <w:rFonts w:ascii="Times New Roman" w:hAnsi="Times New Roman" w:cs="Times New Roman"/>
          <w:sz w:val="18"/>
          <w:szCs w:val="18"/>
          <w:lang w:val="en-GB" w:bidi="ar-SA"/>
        </w:rPr>
        <w:t xml:space="preserve"> </w:t>
      </w:r>
      <w:r w:rsidR="00806F74" w:rsidRPr="0080788E">
        <w:rPr>
          <w:rFonts w:ascii="Times New Roman" w:hAnsi="Times New Roman" w:cs="Times New Roman"/>
          <w:sz w:val="18"/>
          <w:szCs w:val="18"/>
          <w:lang w:val="en-GB" w:bidi="ar-SA"/>
        </w:rPr>
        <w:t xml:space="preserve">Polyethylene </w:t>
      </w:r>
      <w:r w:rsidR="00E9655D">
        <w:rPr>
          <w:rFonts w:ascii="Times New Roman" w:hAnsi="Times New Roman" w:cs="Times New Roman"/>
          <w:sz w:val="18"/>
          <w:szCs w:val="18"/>
          <w:lang w:val="en-GB" w:bidi="ar-SA"/>
        </w:rPr>
        <w:t>and certain ceramics</w:t>
      </w:r>
      <w:r w:rsidR="002B5148">
        <w:rPr>
          <w:rFonts w:ascii="Times New Roman" w:hAnsi="Times New Roman" w:cs="Times New Roman"/>
          <w:sz w:val="18"/>
          <w:szCs w:val="18"/>
          <w:lang w:val="en-GB" w:bidi="ar-SA"/>
        </w:rPr>
        <w:t>,</w:t>
      </w:r>
      <w:r w:rsidR="0080788E" w:rsidRPr="0080788E">
        <w:rPr>
          <w:rFonts w:ascii="Times New Roman" w:hAnsi="Times New Roman" w:cs="Times New Roman"/>
          <w:sz w:val="18"/>
          <w:szCs w:val="18"/>
          <w:lang w:val="en-GB" w:bidi="ar-SA"/>
        </w:rPr>
        <w:t xml:space="preserve"> which</w:t>
      </w:r>
      <w:r w:rsidR="00806F74" w:rsidRPr="0080788E">
        <w:rPr>
          <w:rFonts w:ascii="Times New Roman" w:hAnsi="Times New Roman" w:cs="Times New Roman"/>
          <w:sz w:val="18"/>
          <w:szCs w:val="18"/>
          <w:lang w:val="en-GB" w:bidi="ar-SA"/>
        </w:rPr>
        <w:t xml:space="preserve"> has stood the test of time</w:t>
      </w:r>
      <w:r w:rsidR="003B5BE0">
        <w:rPr>
          <w:rFonts w:ascii="Times New Roman" w:hAnsi="Times New Roman" w:cs="Times New Roman"/>
          <w:sz w:val="18"/>
          <w:szCs w:val="18"/>
          <w:lang w:val="en-GB" w:bidi="ar-SA"/>
        </w:rPr>
        <w:t>,</w:t>
      </w:r>
      <w:r w:rsidR="00806F74" w:rsidRPr="0080788E">
        <w:rPr>
          <w:rFonts w:ascii="Times New Roman" w:hAnsi="Times New Roman" w:cs="Times New Roman"/>
          <w:sz w:val="18"/>
          <w:szCs w:val="18"/>
          <w:lang w:val="en-GB" w:bidi="ar-SA"/>
        </w:rPr>
        <w:t xml:space="preserve"> albeit with some issues around loosening of </w:t>
      </w:r>
      <w:r w:rsidR="003B5BE0">
        <w:rPr>
          <w:rFonts w:ascii="Times New Roman" w:hAnsi="Times New Roman" w:cs="Times New Roman"/>
          <w:sz w:val="18"/>
          <w:szCs w:val="18"/>
          <w:lang w:val="en-GB" w:bidi="ar-SA"/>
        </w:rPr>
        <w:t xml:space="preserve">orthopaedic </w:t>
      </w:r>
      <w:r w:rsidR="00806F74" w:rsidRPr="0080788E">
        <w:rPr>
          <w:rFonts w:ascii="Times New Roman" w:hAnsi="Times New Roman" w:cs="Times New Roman"/>
          <w:sz w:val="18"/>
          <w:szCs w:val="18"/>
          <w:lang w:val="en-GB" w:bidi="ar-SA"/>
        </w:rPr>
        <w:t xml:space="preserve">implants, </w:t>
      </w:r>
      <w:r w:rsidR="003B5BE0">
        <w:rPr>
          <w:rFonts w:ascii="Times New Roman" w:hAnsi="Times New Roman" w:cs="Times New Roman"/>
          <w:sz w:val="18"/>
          <w:szCs w:val="18"/>
          <w:lang w:val="en-GB" w:bidi="ar-SA"/>
        </w:rPr>
        <w:t>but</w:t>
      </w:r>
      <w:r w:rsidR="00806F74" w:rsidRPr="0080788E">
        <w:rPr>
          <w:rFonts w:ascii="Times New Roman" w:hAnsi="Times New Roman" w:cs="Times New Roman"/>
          <w:sz w:val="18"/>
          <w:szCs w:val="18"/>
          <w:lang w:val="en-GB" w:bidi="ar-SA"/>
        </w:rPr>
        <w:t xml:space="preserve"> it is generally safe. We have learned that certain materials can be protected with respect to their </w:t>
      </w:r>
      <w:r w:rsidR="0080788E" w:rsidRPr="0080788E">
        <w:rPr>
          <w:rFonts w:ascii="Times New Roman" w:hAnsi="Times New Roman" w:cs="Times New Roman"/>
          <w:sz w:val="18"/>
          <w:szCs w:val="18"/>
          <w:lang w:val="en-GB" w:bidi="ar-SA"/>
        </w:rPr>
        <w:t>biological interface</w:t>
      </w:r>
      <w:r w:rsidR="003B5BE0">
        <w:rPr>
          <w:rFonts w:ascii="Times New Roman" w:hAnsi="Times New Roman" w:cs="Times New Roman"/>
          <w:sz w:val="18"/>
          <w:szCs w:val="18"/>
          <w:lang w:val="en-GB" w:bidi="ar-SA"/>
        </w:rPr>
        <w:t>,</w:t>
      </w:r>
      <w:r w:rsidR="00806F74" w:rsidRPr="0080788E">
        <w:rPr>
          <w:rFonts w:ascii="Times New Roman" w:hAnsi="Times New Roman" w:cs="Times New Roman"/>
          <w:sz w:val="18"/>
          <w:szCs w:val="18"/>
          <w:lang w:val="en-GB" w:bidi="ar-SA"/>
        </w:rPr>
        <w:t xml:space="preserve"> such as </w:t>
      </w:r>
      <w:r w:rsidR="002B5148">
        <w:rPr>
          <w:rFonts w:ascii="Times New Roman" w:hAnsi="Times New Roman" w:cs="Times New Roman"/>
          <w:sz w:val="18"/>
          <w:szCs w:val="18"/>
          <w:lang w:val="en-GB" w:bidi="ar-SA"/>
        </w:rPr>
        <w:t xml:space="preserve">a </w:t>
      </w:r>
      <w:r w:rsidR="00806F74" w:rsidRPr="0080788E">
        <w:rPr>
          <w:rFonts w:ascii="Times New Roman" w:hAnsi="Times New Roman" w:cs="Times New Roman"/>
          <w:sz w:val="18"/>
          <w:szCs w:val="18"/>
          <w:lang w:val="en-GB" w:bidi="ar-SA"/>
        </w:rPr>
        <w:t xml:space="preserve">silver </w:t>
      </w:r>
      <w:r w:rsidR="003B5BE0">
        <w:rPr>
          <w:rFonts w:ascii="Times New Roman" w:hAnsi="Times New Roman" w:cs="Times New Roman"/>
          <w:sz w:val="18"/>
          <w:szCs w:val="18"/>
          <w:lang w:val="en-GB" w:bidi="ar-SA"/>
        </w:rPr>
        <w:t>(</w:t>
      </w:r>
      <w:r w:rsidR="003B5BE0" w:rsidRPr="003B5BE0">
        <w:rPr>
          <w:rFonts w:ascii="Times New Roman" w:hAnsi="Times New Roman" w:cs="Times New Roman"/>
          <w:i/>
          <w:sz w:val="18"/>
          <w:szCs w:val="18"/>
          <w:lang w:val="en-GB" w:bidi="ar-SA"/>
        </w:rPr>
        <w:t>Ag</w:t>
      </w:r>
      <w:r w:rsidR="003B5BE0">
        <w:rPr>
          <w:rFonts w:ascii="Times New Roman" w:hAnsi="Times New Roman" w:cs="Times New Roman"/>
          <w:sz w:val="18"/>
          <w:szCs w:val="18"/>
          <w:lang w:val="en-GB" w:bidi="ar-SA"/>
        </w:rPr>
        <w:t xml:space="preserve">) </w:t>
      </w:r>
      <w:r w:rsidR="00806F74" w:rsidRPr="0080788E">
        <w:rPr>
          <w:rFonts w:ascii="Times New Roman" w:hAnsi="Times New Roman" w:cs="Times New Roman"/>
          <w:sz w:val="18"/>
          <w:szCs w:val="18"/>
          <w:lang w:val="en-GB" w:bidi="ar-SA"/>
        </w:rPr>
        <w:t xml:space="preserve">coating to decrease the risk of </w:t>
      </w:r>
      <w:r w:rsidR="004530C1" w:rsidRPr="0080788E">
        <w:rPr>
          <w:rFonts w:ascii="Times New Roman" w:hAnsi="Times New Roman" w:cs="Times New Roman"/>
          <w:sz w:val="18"/>
          <w:szCs w:val="18"/>
          <w:lang w:val="en-GB" w:bidi="ar-SA"/>
        </w:rPr>
        <w:t>bio film</w:t>
      </w:r>
      <w:r w:rsidR="00806F74" w:rsidRPr="0080788E">
        <w:rPr>
          <w:rFonts w:ascii="Times New Roman" w:hAnsi="Times New Roman" w:cs="Times New Roman"/>
          <w:sz w:val="18"/>
          <w:szCs w:val="18"/>
          <w:lang w:val="en-GB" w:bidi="ar-SA"/>
        </w:rPr>
        <w:t xml:space="preserve"> formation, but we are still faced with </w:t>
      </w:r>
      <w:r w:rsidR="002B5148">
        <w:rPr>
          <w:rFonts w:ascii="Times New Roman" w:hAnsi="Times New Roman" w:cs="Times New Roman"/>
          <w:sz w:val="18"/>
          <w:szCs w:val="18"/>
          <w:lang w:val="en-GB" w:bidi="ar-SA"/>
        </w:rPr>
        <w:t>a</w:t>
      </w:r>
      <w:r w:rsidR="00806F74" w:rsidRPr="0080788E">
        <w:rPr>
          <w:rFonts w:ascii="Times New Roman" w:hAnsi="Times New Roman" w:cs="Times New Roman"/>
          <w:sz w:val="18"/>
          <w:szCs w:val="18"/>
          <w:lang w:val="en-GB" w:bidi="ar-SA"/>
        </w:rPr>
        <w:t xml:space="preserve"> disjointed picture with respect to understanding how these new </w:t>
      </w:r>
      <w:r w:rsidR="002B5148">
        <w:rPr>
          <w:rFonts w:ascii="Times New Roman" w:hAnsi="Times New Roman" w:cs="Times New Roman"/>
          <w:sz w:val="18"/>
          <w:szCs w:val="18"/>
          <w:lang w:val="en-GB" w:bidi="ar-SA"/>
        </w:rPr>
        <w:t xml:space="preserve">nano </w:t>
      </w:r>
      <w:r w:rsidR="00806F74" w:rsidRPr="0080788E">
        <w:rPr>
          <w:rFonts w:ascii="Times New Roman" w:hAnsi="Times New Roman" w:cs="Times New Roman"/>
          <w:sz w:val="18"/>
          <w:szCs w:val="18"/>
          <w:lang w:val="en-GB" w:bidi="ar-SA"/>
        </w:rPr>
        <w:t xml:space="preserve">technologies impact on biology and what can be done to make the best of their potential. </w:t>
      </w:r>
      <w:r>
        <w:rPr>
          <w:rFonts w:ascii="Times New Roman" w:hAnsi="Times New Roman" w:cs="Times New Roman"/>
          <w:sz w:val="18"/>
          <w:szCs w:val="18"/>
          <w:lang w:val="en-GB" w:bidi="ar-SA"/>
        </w:rPr>
        <w:t>The following qualities and their assay modes are relevant (</w:t>
      </w:r>
      <w:r w:rsidRPr="008D7909">
        <w:rPr>
          <w:rFonts w:ascii="Times New Roman" w:hAnsi="Times New Roman" w:cs="Times New Roman"/>
          <w:i/>
          <w:sz w:val="18"/>
          <w:szCs w:val="18"/>
          <w:lang w:val="en-GB" w:bidi="ar-SA"/>
        </w:rPr>
        <w:t>Table 1</w:t>
      </w:r>
      <w:r>
        <w:rPr>
          <w:rFonts w:ascii="Times New Roman" w:hAnsi="Times New Roman" w:cs="Times New Roman"/>
          <w:sz w:val="18"/>
          <w:szCs w:val="18"/>
          <w:lang w:val="en-GB" w:bidi="ar-SA"/>
        </w:rPr>
        <w:t>).</w:t>
      </w:r>
    </w:p>
    <w:p w:rsidR="00806F74" w:rsidRDefault="00806F74" w:rsidP="006809D7">
      <w:pPr>
        <w:autoSpaceDE w:val="0"/>
        <w:autoSpaceDN w:val="0"/>
        <w:adjustRightInd w:val="0"/>
        <w:spacing w:after="0" w:line="240" w:lineRule="auto"/>
        <w:jc w:val="both"/>
        <w:rPr>
          <w:rFonts w:ascii="Times New Roman" w:hAnsi="Times New Roman" w:cs="Times New Roman"/>
          <w:sz w:val="18"/>
          <w:szCs w:val="18"/>
          <w:lang w:val="en-GB" w:bidi="ar-SA"/>
        </w:rPr>
      </w:pPr>
    </w:p>
    <w:tbl>
      <w:tblPr>
        <w:tblStyle w:val="LightShading"/>
        <w:tblpPr w:leftFromText="180" w:rightFromText="180" w:vertAnchor="text" w:horzAnchor="margin" w:tblpXSpec="right" w:tblpY="-21"/>
        <w:tblOverlap w:val="never"/>
        <w:tblW w:w="4361" w:type="dxa"/>
        <w:tblLayout w:type="fixed"/>
        <w:tblLook w:val="04A0"/>
      </w:tblPr>
      <w:tblGrid>
        <w:gridCol w:w="1242"/>
        <w:gridCol w:w="1418"/>
        <w:gridCol w:w="1701"/>
      </w:tblGrid>
      <w:tr w:rsidR="00AF39B6" w:rsidRPr="00523897" w:rsidTr="00AF39B6">
        <w:trPr>
          <w:cnfStyle w:val="100000000000"/>
        </w:trPr>
        <w:tc>
          <w:tcPr>
            <w:cnfStyle w:val="001000000000"/>
            <w:tcW w:w="1242" w:type="dxa"/>
            <w:vAlign w:val="center"/>
          </w:tcPr>
          <w:p w:rsidR="00AF39B6" w:rsidRPr="00523897" w:rsidRDefault="00AF39B6" w:rsidP="00AF39B6">
            <w:pPr>
              <w:rPr>
                <w:sz w:val="16"/>
              </w:rPr>
            </w:pPr>
            <w:r w:rsidRPr="00523897">
              <w:rPr>
                <w:kern w:val="24"/>
                <w:sz w:val="16"/>
              </w:rPr>
              <w:t xml:space="preserve">Assay type </w:t>
            </w:r>
          </w:p>
        </w:tc>
        <w:tc>
          <w:tcPr>
            <w:tcW w:w="1418" w:type="dxa"/>
            <w:vAlign w:val="center"/>
          </w:tcPr>
          <w:p w:rsidR="00AF39B6" w:rsidRPr="00523897" w:rsidRDefault="00AF39B6" w:rsidP="00AF39B6">
            <w:pPr>
              <w:cnfStyle w:val="100000000000"/>
              <w:rPr>
                <w:sz w:val="16"/>
              </w:rPr>
            </w:pPr>
            <w:r w:rsidRPr="00523897">
              <w:rPr>
                <w:kern w:val="24"/>
                <w:sz w:val="16"/>
              </w:rPr>
              <w:t xml:space="preserve">Process probed </w:t>
            </w:r>
          </w:p>
        </w:tc>
        <w:tc>
          <w:tcPr>
            <w:tcW w:w="1701" w:type="dxa"/>
            <w:vAlign w:val="center"/>
          </w:tcPr>
          <w:p w:rsidR="00AF39B6" w:rsidRPr="00523897" w:rsidRDefault="00AF39B6" w:rsidP="00AF39B6">
            <w:pPr>
              <w:cnfStyle w:val="100000000000"/>
              <w:rPr>
                <w:sz w:val="16"/>
              </w:rPr>
            </w:pPr>
            <w:r w:rsidRPr="00523897">
              <w:rPr>
                <w:kern w:val="24"/>
                <w:sz w:val="16"/>
              </w:rPr>
              <w:t xml:space="preserve">Assay </w:t>
            </w:r>
          </w:p>
        </w:tc>
      </w:tr>
      <w:tr w:rsidR="00AF39B6" w:rsidRPr="00523897" w:rsidTr="00AF39B6">
        <w:trPr>
          <w:cnfStyle w:val="000000100000"/>
        </w:trPr>
        <w:tc>
          <w:tcPr>
            <w:cnfStyle w:val="001000000000"/>
            <w:tcW w:w="1242" w:type="dxa"/>
            <w:vAlign w:val="center"/>
          </w:tcPr>
          <w:p w:rsidR="00AF39B6" w:rsidRPr="00523897" w:rsidRDefault="00AF39B6" w:rsidP="00AF39B6">
            <w:pPr>
              <w:rPr>
                <w:sz w:val="16"/>
              </w:rPr>
            </w:pPr>
            <w:r w:rsidRPr="00523897">
              <w:rPr>
                <w:kern w:val="24"/>
                <w:sz w:val="16"/>
              </w:rPr>
              <w:t xml:space="preserve">Viability </w:t>
            </w:r>
          </w:p>
        </w:tc>
        <w:tc>
          <w:tcPr>
            <w:tcW w:w="1418" w:type="dxa"/>
            <w:vAlign w:val="center"/>
          </w:tcPr>
          <w:p w:rsidR="00AF39B6" w:rsidRPr="00523897" w:rsidRDefault="00AF39B6" w:rsidP="00AF39B6">
            <w:pPr>
              <w:cnfStyle w:val="000000100000"/>
              <w:rPr>
                <w:sz w:val="16"/>
              </w:rPr>
            </w:pPr>
            <w:r w:rsidRPr="00523897">
              <w:rPr>
                <w:kern w:val="24"/>
                <w:sz w:val="16"/>
              </w:rPr>
              <w:t>Metabolic activity</w:t>
            </w:r>
          </w:p>
          <w:p w:rsidR="00AF39B6" w:rsidRPr="00523897" w:rsidRDefault="00AF39B6" w:rsidP="00AF39B6">
            <w:pPr>
              <w:cnfStyle w:val="000000100000"/>
              <w:rPr>
                <w:sz w:val="16"/>
              </w:rPr>
            </w:pPr>
            <w:r w:rsidRPr="00523897">
              <w:rPr>
                <w:kern w:val="24"/>
                <w:sz w:val="16"/>
              </w:rPr>
              <w:t>Proliferation</w:t>
            </w:r>
          </w:p>
          <w:p w:rsidR="00AF39B6" w:rsidRPr="00523897" w:rsidRDefault="00AF39B6" w:rsidP="00AF39B6">
            <w:pPr>
              <w:cnfStyle w:val="000000100000"/>
              <w:rPr>
                <w:sz w:val="16"/>
              </w:rPr>
            </w:pPr>
            <w:r w:rsidRPr="00523897">
              <w:rPr>
                <w:kern w:val="24"/>
                <w:sz w:val="16"/>
              </w:rPr>
              <w:t>Necrosis</w:t>
            </w:r>
          </w:p>
          <w:p w:rsidR="00AF39B6" w:rsidRPr="00523897" w:rsidRDefault="00AF39B6" w:rsidP="00AF39B6">
            <w:pPr>
              <w:cnfStyle w:val="000000100000"/>
              <w:rPr>
                <w:sz w:val="16"/>
              </w:rPr>
            </w:pPr>
            <w:r w:rsidRPr="00523897">
              <w:rPr>
                <w:kern w:val="24"/>
                <w:sz w:val="16"/>
              </w:rPr>
              <w:t>Apoptosis</w:t>
            </w:r>
          </w:p>
        </w:tc>
        <w:tc>
          <w:tcPr>
            <w:tcW w:w="1701" w:type="dxa"/>
            <w:vAlign w:val="center"/>
          </w:tcPr>
          <w:p w:rsidR="00AF39B6" w:rsidRPr="00523897" w:rsidRDefault="00AF39B6" w:rsidP="00AF39B6">
            <w:pPr>
              <w:cnfStyle w:val="000000100000"/>
              <w:rPr>
                <w:sz w:val="16"/>
              </w:rPr>
            </w:pPr>
            <w:r w:rsidRPr="00523897">
              <w:rPr>
                <w:kern w:val="24"/>
                <w:sz w:val="16"/>
              </w:rPr>
              <w:t>MTT, Alamar Blue</w:t>
            </w:r>
          </w:p>
          <w:p w:rsidR="00AF39B6" w:rsidRPr="00523897" w:rsidRDefault="00AF39B6" w:rsidP="00AF39B6">
            <w:pPr>
              <w:cnfStyle w:val="000000100000"/>
              <w:rPr>
                <w:sz w:val="16"/>
              </w:rPr>
            </w:pPr>
            <w:r w:rsidRPr="00523897">
              <w:rPr>
                <w:kern w:val="24"/>
                <w:sz w:val="16"/>
              </w:rPr>
              <w:t>Total DNA</w:t>
            </w:r>
          </w:p>
          <w:p w:rsidR="00AF39B6" w:rsidRPr="00523897" w:rsidRDefault="00AF39B6" w:rsidP="00AF39B6">
            <w:pPr>
              <w:cnfStyle w:val="000000100000"/>
              <w:rPr>
                <w:sz w:val="16"/>
              </w:rPr>
            </w:pPr>
            <w:r w:rsidRPr="00523897">
              <w:rPr>
                <w:kern w:val="24"/>
                <w:sz w:val="16"/>
              </w:rPr>
              <w:t>Membrane permeability</w:t>
            </w:r>
          </w:p>
          <w:p w:rsidR="00AF39B6" w:rsidRPr="00523897" w:rsidRDefault="00AF39B6" w:rsidP="00AF39B6">
            <w:pPr>
              <w:cnfStyle w:val="000000100000"/>
              <w:rPr>
                <w:sz w:val="16"/>
              </w:rPr>
            </w:pPr>
            <w:r w:rsidRPr="00523897">
              <w:rPr>
                <w:kern w:val="24"/>
                <w:sz w:val="16"/>
              </w:rPr>
              <w:t>Annexin-V, TUNEL</w:t>
            </w:r>
          </w:p>
        </w:tc>
      </w:tr>
      <w:tr w:rsidR="00AF39B6" w:rsidRPr="00523897" w:rsidTr="00AF39B6">
        <w:tc>
          <w:tcPr>
            <w:cnfStyle w:val="001000000000"/>
            <w:tcW w:w="1242" w:type="dxa"/>
            <w:vAlign w:val="center"/>
          </w:tcPr>
          <w:p w:rsidR="00AF39B6" w:rsidRPr="00523897" w:rsidRDefault="00AF39B6" w:rsidP="00AF39B6">
            <w:pPr>
              <w:rPr>
                <w:sz w:val="16"/>
              </w:rPr>
            </w:pPr>
            <w:r w:rsidRPr="00523897">
              <w:rPr>
                <w:kern w:val="24"/>
                <w:sz w:val="16"/>
              </w:rPr>
              <w:t xml:space="preserve">Mechanistic </w:t>
            </w:r>
          </w:p>
        </w:tc>
        <w:tc>
          <w:tcPr>
            <w:tcW w:w="1418" w:type="dxa"/>
            <w:vAlign w:val="center"/>
          </w:tcPr>
          <w:p w:rsidR="00AF39B6" w:rsidRPr="00523897" w:rsidRDefault="00AF39B6" w:rsidP="00AF39B6">
            <w:pPr>
              <w:cnfStyle w:val="000000000000"/>
              <w:rPr>
                <w:sz w:val="16"/>
              </w:rPr>
            </w:pPr>
            <w:r w:rsidRPr="00523897">
              <w:rPr>
                <w:kern w:val="24"/>
                <w:sz w:val="16"/>
              </w:rPr>
              <w:t>Oxidative stress</w:t>
            </w:r>
          </w:p>
          <w:p w:rsidR="00AF39B6" w:rsidRPr="00523897" w:rsidRDefault="00AF39B6" w:rsidP="00AF39B6">
            <w:pPr>
              <w:cnfStyle w:val="000000000000"/>
              <w:rPr>
                <w:sz w:val="16"/>
              </w:rPr>
            </w:pPr>
            <w:r w:rsidRPr="00523897">
              <w:rPr>
                <w:kern w:val="24"/>
                <w:sz w:val="16"/>
              </w:rPr>
              <w:t xml:space="preserve">DNA damage </w:t>
            </w:r>
          </w:p>
        </w:tc>
        <w:tc>
          <w:tcPr>
            <w:tcW w:w="1701" w:type="dxa"/>
            <w:vAlign w:val="center"/>
          </w:tcPr>
          <w:p w:rsidR="00AF39B6" w:rsidRPr="00523897" w:rsidRDefault="00AF39B6" w:rsidP="00AF39B6">
            <w:pPr>
              <w:cnfStyle w:val="000000000000"/>
              <w:rPr>
                <w:sz w:val="16"/>
              </w:rPr>
            </w:pPr>
            <w:r w:rsidRPr="00523897">
              <w:rPr>
                <w:kern w:val="24"/>
                <w:sz w:val="16"/>
              </w:rPr>
              <w:t xml:space="preserve">ROS detection </w:t>
            </w:r>
          </w:p>
          <w:p w:rsidR="00AF39B6" w:rsidRPr="00523897" w:rsidRDefault="00AF39B6" w:rsidP="00AF39B6">
            <w:pPr>
              <w:cnfStyle w:val="000000000000"/>
              <w:rPr>
                <w:sz w:val="16"/>
              </w:rPr>
            </w:pPr>
            <w:r w:rsidRPr="00523897">
              <w:rPr>
                <w:kern w:val="24"/>
                <w:sz w:val="16"/>
              </w:rPr>
              <w:t>TUNEL</w:t>
            </w:r>
          </w:p>
        </w:tc>
      </w:tr>
      <w:tr w:rsidR="00AF39B6" w:rsidRPr="00523897" w:rsidTr="00AF39B6">
        <w:trPr>
          <w:cnfStyle w:val="000000100000"/>
        </w:trPr>
        <w:tc>
          <w:tcPr>
            <w:cnfStyle w:val="001000000000"/>
            <w:tcW w:w="1242" w:type="dxa"/>
            <w:vAlign w:val="center"/>
          </w:tcPr>
          <w:p w:rsidR="00AF39B6" w:rsidRPr="00523897" w:rsidRDefault="00AF39B6" w:rsidP="00AF39B6">
            <w:pPr>
              <w:rPr>
                <w:sz w:val="16"/>
              </w:rPr>
            </w:pPr>
            <w:r w:rsidRPr="00523897">
              <w:rPr>
                <w:kern w:val="24"/>
                <w:sz w:val="16"/>
              </w:rPr>
              <w:t>Functional/</w:t>
            </w:r>
            <w:r>
              <w:rPr>
                <w:kern w:val="24"/>
                <w:sz w:val="16"/>
              </w:rPr>
              <w:t xml:space="preserve"> </w:t>
            </w:r>
            <w:r w:rsidRPr="00523897">
              <w:rPr>
                <w:kern w:val="24"/>
                <w:sz w:val="16"/>
              </w:rPr>
              <w:t xml:space="preserve">Behavioural </w:t>
            </w:r>
          </w:p>
        </w:tc>
        <w:tc>
          <w:tcPr>
            <w:tcW w:w="1418" w:type="dxa"/>
            <w:vAlign w:val="center"/>
          </w:tcPr>
          <w:p w:rsidR="00AF39B6" w:rsidRPr="00523897" w:rsidRDefault="00AF39B6" w:rsidP="00AF39B6">
            <w:pPr>
              <w:cnfStyle w:val="000000100000"/>
              <w:rPr>
                <w:sz w:val="16"/>
              </w:rPr>
            </w:pPr>
            <w:r w:rsidRPr="00523897">
              <w:rPr>
                <w:kern w:val="24"/>
                <w:sz w:val="16"/>
              </w:rPr>
              <w:t>Differentiation</w:t>
            </w:r>
          </w:p>
          <w:p w:rsidR="00AF39B6" w:rsidRPr="00523897" w:rsidRDefault="00AF39B6" w:rsidP="00AF39B6">
            <w:pPr>
              <w:cnfStyle w:val="000000100000"/>
              <w:rPr>
                <w:sz w:val="16"/>
              </w:rPr>
            </w:pPr>
            <w:r w:rsidRPr="00523897">
              <w:rPr>
                <w:kern w:val="24"/>
                <w:sz w:val="16"/>
              </w:rPr>
              <w:t>Inflammatory response</w:t>
            </w:r>
          </w:p>
          <w:p w:rsidR="00AF39B6" w:rsidRPr="00523897" w:rsidRDefault="00AF39B6" w:rsidP="00AF39B6">
            <w:pPr>
              <w:cnfStyle w:val="000000100000"/>
              <w:rPr>
                <w:sz w:val="16"/>
              </w:rPr>
            </w:pPr>
            <w:r w:rsidRPr="00523897">
              <w:rPr>
                <w:kern w:val="24"/>
                <w:sz w:val="16"/>
              </w:rPr>
              <w:t>ECM formation</w:t>
            </w:r>
          </w:p>
          <w:p w:rsidR="00AF39B6" w:rsidRPr="00523897" w:rsidRDefault="00AF39B6" w:rsidP="00AF39B6">
            <w:pPr>
              <w:cnfStyle w:val="000000100000"/>
              <w:rPr>
                <w:sz w:val="16"/>
              </w:rPr>
            </w:pPr>
            <w:r w:rsidRPr="00523897">
              <w:rPr>
                <w:kern w:val="24"/>
                <w:sz w:val="16"/>
              </w:rPr>
              <w:t>Cell mobility/recruitment</w:t>
            </w:r>
          </w:p>
        </w:tc>
        <w:tc>
          <w:tcPr>
            <w:tcW w:w="1701" w:type="dxa"/>
            <w:vAlign w:val="center"/>
          </w:tcPr>
          <w:p w:rsidR="00AF39B6" w:rsidRPr="00523897" w:rsidRDefault="00AF39B6" w:rsidP="00AF39B6">
            <w:pPr>
              <w:cnfStyle w:val="000000100000"/>
              <w:rPr>
                <w:sz w:val="16"/>
              </w:rPr>
            </w:pPr>
            <w:r w:rsidRPr="00523897">
              <w:rPr>
                <w:kern w:val="24"/>
                <w:sz w:val="16"/>
              </w:rPr>
              <w:t>RT-PCR</w:t>
            </w:r>
          </w:p>
          <w:p w:rsidR="00AF39B6" w:rsidRPr="00523897" w:rsidRDefault="00AF39B6" w:rsidP="00AF39B6">
            <w:pPr>
              <w:cnfStyle w:val="000000100000"/>
              <w:rPr>
                <w:sz w:val="16"/>
              </w:rPr>
            </w:pPr>
            <w:r w:rsidRPr="00523897">
              <w:rPr>
                <w:kern w:val="24"/>
                <w:sz w:val="16"/>
              </w:rPr>
              <w:t>ELISA</w:t>
            </w:r>
            <w:r w:rsidRPr="00523897">
              <w:rPr>
                <w:kern w:val="24"/>
                <w:sz w:val="16"/>
              </w:rPr>
              <w:br/>
              <w:t>Alizerin Red, Collagen</w:t>
            </w:r>
          </w:p>
          <w:p w:rsidR="00AF39B6" w:rsidRPr="00523897" w:rsidRDefault="00AF39B6" w:rsidP="00AF39B6">
            <w:pPr>
              <w:cnfStyle w:val="000000100000"/>
              <w:rPr>
                <w:sz w:val="16"/>
              </w:rPr>
            </w:pPr>
            <w:r w:rsidRPr="00523897">
              <w:rPr>
                <w:kern w:val="24"/>
                <w:sz w:val="16"/>
              </w:rPr>
              <w:t xml:space="preserve">Trans well plates, scratch test </w:t>
            </w:r>
          </w:p>
        </w:tc>
      </w:tr>
      <w:tr w:rsidR="00AF39B6" w:rsidRPr="00523897" w:rsidTr="00AF39B6">
        <w:tc>
          <w:tcPr>
            <w:cnfStyle w:val="001000000000"/>
            <w:tcW w:w="1242" w:type="dxa"/>
            <w:vAlign w:val="center"/>
          </w:tcPr>
          <w:p w:rsidR="00AF39B6" w:rsidRPr="00523897" w:rsidRDefault="00AF39B6" w:rsidP="00AF39B6">
            <w:pPr>
              <w:rPr>
                <w:sz w:val="16"/>
              </w:rPr>
            </w:pPr>
            <w:r w:rsidRPr="00523897">
              <w:rPr>
                <w:kern w:val="24"/>
                <w:sz w:val="16"/>
              </w:rPr>
              <w:t xml:space="preserve">Cellular uptake </w:t>
            </w:r>
          </w:p>
        </w:tc>
        <w:tc>
          <w:tcPr>
            <w:tcW w:w="1418" w:type="dxa"/>
            <w:vAlign w:val="center"/>
          </w:tcPr>
          <w:p w:rsidR="00AF39B6" w:rsidRPr="00523897" w:rsidRDefault="00AF39B6" w:rsidP="00AF39B6">
            <w:pPr>
              <w:cnfStyle w:val="000000000000"/>
              <w:rPr>
                <w:sz w:val="16"/>
              </w:rPr>
            </w:pPr>
            <w:r w:rsidRPr="00523897">
              <w:rPr>
                <w:kern w:val="24"/>
                <w:sz w:val="16"/>
              </w:rPr>
              <w:t xml:space="preserve">Endocytosis </w:t>
            </w:r>
          </w:p>
          <w:p w:rsidR="00AF39B6" w:rsidRPr="00523897" w:rsidRDefault="00AF39B6" w:rsidP="00AF39B6">
            <w:pPr>
              <w:cnfStyle w:val="000000000000"/>
              <w:rPr>
                <w:sz w:val="16"/>
              </w:rPr>
            </w:pPr>
            <w:r w:rsidRPr="00523897">
              <w:rPr>
                <w:kern w:val="24"/>
                <w:sz w:val="16"/>
              </w:rPr>
              <w:t xml:space="preserve">Phagocytosis </w:t>
            </w:r>
          </w:p>
        </w:tc>
        <w:tc>
          <w:tcPr>
            <w:tcW w:w="1701" w:type="dxa"/>
            <w:vAlign w:val="center"/>
          </w:tcPr>
          <w:p w:rsidR="00AF39B6" w:rsidRPr="00523897" w:rsidRDefault="00AF39B6" w:rsidP="00AF39B6">
            <w:pPr>
              <w:cnfStyle w:val="000000000000"/>
              <w:rPr>
                <w:sz w:val="16"/>
              </w:rPr>
            </w:pPr>
            <w:r w:rsidRPr="00523897">
              <w:rPr>
                <w:kern w:val="24"/>
                <w:sz w:val="16"/>
              </w:rPr>
              <w:t>FRAP</w:t>
            </w:r>
          </w:p>
          <w:p w:rsidR="00AF39B6" w:rsidRPr="00523897" w:rsidRDefault="00AF39B6" w:rsidP="00AF39B6">
            <w:pPr>
              <w:cnfStyle w:val="000000000000"/>
              <w:rPr>
                <w:sz w:val="16"/>
              </w:rPr>
            </w:pPr>
            <w:r w:rsidRPr="00523897">
              <w:rPr>
                <w:kern w:val="24"/>
                <w:sz w:val="16"/>
              </w:rPr>
              <w:t>TEM</w:t>
            </w:r>
          </w:p>
          <w:p w:rsidR="00AF39B6" w:rsidRPr="00523897" w:rsidRDefault="00AF39B6" w:rsidP="00AF39B6">
            <w:pPr>
              <w:keepNext/>
              <w:cnfStyle w:val="000000000000"/>
              <w:rPr>
                <w:sz w:val="16"/>
              </w:rPr>
            </w:pPr>
            <w:r w:rsidRPr="00523897">
              <w:rPr>
                <w:kern w:val="24"/>
                <w:sz w:val="16"/>
              </w:rPr>
              <w:t>QDs</w:t>
            </w:r>
          </w:p>
        </w:tc>
      </w:tr>
    </w:tbl>
    <w:p w:rsidR="00806F74" w:rsidRPr="0080788E" w:rsidRDefault="0080788E" w:rsidP="006809D7">
      <w:pPr>
        <w:autoSpaceDE w:val="0"/>
        <w:autoSpaceDN w:val="0"/>
        <w:adjustRightInd w:val="0"/>
        <w:spacing w:after="0" w:line="240" w:lineRule="auto"/>
        <w:jc w:val="both"/>
        <w:rPr>
          <w:rFonts w:ascii="Times New Roman" w:hAnsi="Times New Roman" w:cs="Times New Roman"/>
          <w:sz w:val="18"/>
          <w:szCs w:val="18"/>
          <w:lang w:val="en-GB" w:bidi="ar-SA"/>
        </w:rPr>
      </w:pPr>
      <w:r>
        <w:rPr>
          <w:rFonts w:ascii="Times New Roman" w:hAnsi="Times New Roman" w:cs="Times New Roman"/>
          <w:sz w:val="18"/>
          <w:szCs w:val="18"/>
          <w:lang w:val="en-GB" w:bidi="ar-SA"/>
        </w:rPr>
        <w:t>S</w:t>
      </w:r>
      <w:r w:rsidR="00806F74" w:rsidRPr="0080788E">
        <w:rPr>
          <w:rFonts w:ascii="Times New Roman" w:hAnsi="Times New Roman" w:cs="Times New Roman"/>
          <w:sz w:val="18"/>
          <w:szCs w:val="18"/>
          <w:lang w:val="en-GB" w:bidi="ar-SA"/>
        </w:rPr>
        <w:t xml:space="preserve">ociety </w:t>
      </w:r>
      <w:r w:rsidR="003B5BE0">
        <w:rPr>
          <w:rFonts w:ascii="Times New Roman" w:hAnsi="Times New Roman" w:cs="Times New Roman"/>
          <w:sz w:val="18"/>
          <w:szCs w:val="18"/>
          <w:lang w:val="en-GB" w:bidi="ar-SA"/>
        </w:rPr>
        <w:t>can</w:t>
      </w:r>
      <w:r w:rsidR="00806F74" w:rsidRPr="0080788E">
        <w:rPr>
          <w:rFonts w:ascii="Times New Roman" w:hAnsi="Times New Roman" w:cs="Times New Roman"/>
          <w:sz w:val="18"/>
          <w:szCs w:val="18"/>
          <w:lang w:val="en-GB" w:bidi="ar-SA"/>
        </w:rPr>
        <w:t xml:space="preserve">not yet know the optimum </w:t>
      </w:r>
      <w:r w:rsidR="00C47594" w:rsidRPr="0080788E">
        <w:rPr>
          <w:rFonts w:ascii="Times New Roman" w:hAnsi="Times New Roman" w:cs="Times New Roman"/>
          <w:sz w:val="18"/>
          <w:szCs w:val="18"/>
          <w:lang w:val="en-GB" w:bidi="ar-SA"/>
        </w:rPr>
        <w:t>approach</w:t>
      </w:r>
      <w:r w:rsidR="00C47594">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since there </w:t>
      </w:r>
      <w:r w:rsidR="008D7909">
        <w:rPr>
          <w:rFonts w:ascii="Times New Roman" w:hAnsi="Times New Roman" w:cs="Times New Roman"/>
          <w:sz w:val="18"/>
          <w:szCs w:val="18"/>
          <w:lang w:val="en-GB" w:bidi="ar-SA"/>
        </w:rPr>
        <w:t>are presently</w:t>
      </w:r>
      <w:r w:rsidR="00806F74" w:rsidRPr="0080788E">
        <w:rPr>
          <w:rFonts w:ascii="Times New Roman" w:hAnsi="Times New Roman" w:cs="Times New Roman"/>
          <w:sz w:val="18"/>
          <w:szCs w:val="18"/>
          <w:lang w:val="en-GB" w:bidi="ar-SA"/>
        </w:rPr>
        <w:t xml:space="preserve"> no preclinical testing methods that can reliably predict outcomes. Th</w:t>
      </w:r>
      <w:r w:rsidR="00C47594">
        <w:rPr>
          <w:rFonts w:ascii="Times New Roman" w:hAnsi="Times New Roman" w:cs="Times New Roman"/>
          <w:sz w:val="18"/>
          <w:szCs w:val="18"/>
          <w:lang w:val="en-GB" w:bidi="ar-SA"/>
        </w:rPr>
        <w:t>ere is</w:t>
      </w:r>
      <w:r w:rsidR="00806F74" w:rsidRPr="0080788E">
        <w:rPr>
          <w:rFonts w:ascii="Times New Roman" w:hAnsi="Times New Roman" w:cs="Times New Roman"/>
          <w:sz w:val="18"/>
          <w:szCs w:val="18"/>
          <w:lang w:val="en-GB" w:bidi="ar-SA"/>
        </w:rPr>
        <w:t xml:space="preserve"> still </w:t>
      </w:r>
      <w:r w:rsidR="00C47594">
        <w:rPr>
          <w:rFonts w:ascii="Times New Roman" w:hAnsi="Times New Roman" w:cs="Times New Roman"/>
          <w:sz w:val="18"/>
          <w:szCs w:val="18"/>
          <w:lang w:val="en-GB" w:bidi="ar-SA"/>
        </w:rPr>
        <w:t xml:space="preserve">a need </w:t>
      </w:r>
      <w:r w:rsidR="00806F74" w:rsidRPr="0080788E">
        <w:rPr>
          <w:rFonts w:ascii="Times New Roman" w:hAnsi="Times New Roman" w:cs="Times New Roman"/>
          <w:sz w:val="18"/>
          <w:szCs w:val="18"/>
          <w:lang w:val="en-GB" w:bidi="ar-SA"/>
        </w:rPr>
        <w:t>for empirical data to be analysed</w:t>
      </w:r>
      <w:r w:rsidR="003B5BE0">
        <w:rPr>
          <w:rFonts w:ascii="Times New Roman" w:hAnsi="Times New Roman" w:cs="Times New Roman"/>
          <w:sz w:val="18"/>
          <w:szCs w:val="18"/>
          <w:lang w:val="en-GB" w:bidi="ar-SA"/>
        </w:rPr>
        <w:t xml:space="preserve"> and to date, registries provide the best approach</w:t>
      </w:r>
      <w:r w:rsidR="00806F74" w:rsidRPr="0080788E">
        <w:rPr>
          <w:rFonts w:ascii="Times New Roman" w:hAnsi="Times New Roman" w:cs="Times New Roman"/>
          <w:sz w:val="18"/>
          <w:szCs w:val="18"/>
          <w:lang w:val="en-GB" w:bidi="ar-SA"/>
        </w:rPr>
        <w:t>.</w:t>
      </w:r>
    </w:p>
    <w:p w:rsidR="00C47594" w:rsidRDefault="00806F74" w:rsidP="006809D7">
      <w:pPr>
        <w:autoSpaceDE w:val="0"/>
        <w:autoSpaceDN w:val="0"/>
        <w:adjustRightInd w:val="0"/>
        <w:spacing w:after="0" w:line="240" w:lineRule="auto"/>
        <w:jc w:val="both"/>
        <w:rPr>
          <w:rFonts w:ascii="Times New Roman" w:hAnsi="Times New Roman" w:cs="Times New Roman"/>
          <w:sz w:val="18"/>
          <w:szCs w:val="18"/>
          <w:lang w:val="en-GB" w:bidi="ar-SA"/>
        </w:rPr>
      </w:pPr>
      <w:r w:rsidRPr="0080788E">
        <w:rPr>
          <w:rFonts w:ascii="Times New Roman" w:hAnsi="Times New Roman" w:cs="Times New Roman"/>
          <w:sz w:val="18"/>
          <w:szCs w:val="18"/>
          <w:lang w:val="en-GB" w:bidi="ar-SA"/>
        </w:rPr>
        <w:t>As expectations arise within society for an improved longer term quality of life, greater pressure is placed upon healthcare providers and industry to deliver potential new solutions. Our knowledge base can therefore be categori</w:t>
      </w:r>
      <w:r w:rsidR="00C47594">
        <w:rPr>
          <w:rFonts w:ascii="Times New Roman" w:hAnsi="Times New Roman" w:cs="Times New Roman"/>
          <w:sz w:val="18"/>
          <w:szCs w:val="18"/>
          <w:lang w:val="en-GB" w:bidi="ar-SA"/>
        </w:rPr>
        <w:t>sed according to the "Rumsfeld P</w:t>
      </w:r>
      <w:r w:rsidR="003B5BE0">
        <w:rPr>
          <w:rFonts w:ascii="Times New Roman" w:hAnsi="Times New Roman" w:cs="Times New Roman"/>
          <w:sz w:val="18"/>
          <w:szCs w:val="18"/>
          <w:lang w:val="en-GB" w:bidi="ar-SA"/>
        </w:rPr>
        <w:t>aradigm</w:t>
      </w:r>
      <w:r w:rsidRPr="0080788E">
        <w:rPr>
          <w:rFonts w:ascii="Times New Roman" w:hAnsi="Times New Roman" w:cs="Times New Roman"/>
          <w:sz w:val="18"/>
          <w:szCs w:val="18"/>
          <w:lang w:val="en-GB" w:bidi="ar-SA"/>
        </w:rPr>
        <w:t xml:space="preserve">" </w:t>
      </w:r>
      <w:r w:rsidR="00C47594">
        <w:rPr>
          <w:rFonts w:ascii="Times New Roman" w:hAnsi="Times New Roman" w:cs="Times New Roman"/>
          <w:sz w:val="18"/>
          <w:szCs w:val="18"/>
          <w:lang w:val="en-GB" w:bidi="ar-SA"/>
        </w:rPr>
        <w:t>which refer</w:t>
      </w:r>
      <w:r w:rsidR="003B5BE0">
        <w:rPr>
          <w:rFonts w:ascii="Times New Roman" w:hAnsi="Times New Roman" w:cs="Times New Roman"/>
          <w:sz w:val="18"/>
          <w:szCs w:val="18"/>
          <w:lang w:val="en-GB" w:bidi="ar-SA"/>
        </w:rPr>
        <w:t>s</w:t>
      </w:r>
      <w:r w:rsidRPr="0080788E">
        <w:rPr>
          <w:rFonts w:ascii="Times New Roman" w:hAnsi="Times New Roman" w:cs="Times New Roman"/>
          <w:sz w:val="18"/>
          <w:szCs w:val="18"/>
          <w:lang w:val="en-GB" w:bidi="ar-SA"/>
        </w:rPr>
        <w:t xml:space="preserve"> to what the professions recognise and what information </w:t>
      </w:r>
      <w:r w:rsidR="003B5BE0" w:rsidRPr="0080788E">
        <w:rPr>
          <w:rFonts w:ascii="Times New Roman" w:hAnsi="Times New Roman" w:cs="Times New Roman"/>
          <w:sz w:val="18"/>
          <w:szCs w:val="18"/>
          <w:lang w:val="en-GB" w:bidi="ar-SA"/>
        </w:rPr>
        <w:t xml:space="preserve">is </w:t>
      </w:r>
      <w:r w:rsidRPr="0080788E">
        <w:rPr>
          <w:rFonts w:ascii="Times New Roman" w:hAnsi="Times New Roman" w:cs="Times New Roman"/>
          <w:sz w:val="18"/>
          <w:szCs w:val="18"/>
          <w:lang w:val="en-GB" w:bidi="ar-SA"/>
        </w:rPr>
        <w:t xml:space="preserve">potentially available that could be of value. </w:t>
      </w:r>
    </w:p>
    <w:p w:rsidR="00806F74" w:rsidRPr="0080788E" w:rsidRDefault="00806F74" w:rsidP="006809D7">
      <w:pPr>
        <w:autoSpaceDE w:val="0"/>
        <w:autoSpaceDN w:val="0"/>
        <w:adjustRightInd w:val="0"/>
        <w:spacing w:after="0" w:line="240" w:lineRule="auto"/>
        <w:jc w:val="both"/>
        <w:rPr>
          <w:rFonts w:ascii="Times New Roman" w:hAnsi="Times New Roman" w:cs="Times New Roman"/>
          <w:sz w:val="18"/>
          <w:szCs w:val="18"/>
          <w:lang w:val="en-GB" w:bidi="ar-SA"/>
        </w:rPr>
      </w:pPr>
      <w:r w:rsidRPr="0080788E">
        <w:rPr>
          <w:rFonts w:ascii="Times New Roman" w:hAnsi="Times New Roman" w:cs="Times New Roman"/>
          <w:sz w:val="18"/>
          <w:szCs w:val="18"/>
          <w:lang w:val="en-GB" w:bidi="ar-SA"/>
        </w:rPr>
        <w:t>Broadly spe</w:t>
      </w:r>
      <w:r w:rsidR="00C47594">
        <w:rPr>
          <w:rFonts w:ascii="Times New Roman" w:hAnsi="Times New Roman" w:cs="Times New Roman"/>
          <w:sz w:val="18"/>
          <w:szCs w:val="18"/>
          <w:lang w:val="en-GB" w:bidi="ar-SA"/>
        </w:rPr>
        <w:t xml:space="preserve">aking this relationship between local </w:t>
      </w:r>
      <w:r w:rsidRPr="0080788E">
        <w:rPr>
          <w:rFonts w:ascii="Times New Roman" w:hAnsi="Times New Roman" w:cs="Times New Roman"/>
          <w:sz w:val="18"/>
          <w:szCs w:val="18"/>
          <w:lang w:val="en-GB" w:bidi="ar-SA"/>
        </w:rPr>
        <w:t xml:space="preserve">and </w:t>
      </w:r>
      <w:r w:rsidR="00C47594">
        <w:rPr>
          <w:rFonts w:ascii="Times New Roman" w:hAnsi="Times New Roman" w:cs="Times New Roman"/>
          <w:sz w:val="18"/>
          <w:szCs w:val="18"/>
          <w:lang w:val="en-GB" w:bidi="ar-SA"/>
        </w:rPr>
        <w:t>remote (other centre’s)</w:t>
      </w:r>
      <w:r w:rsidRPr="0080788E">
        <w:rPr>
          <w:rFonts w:ascii="Times New Roman" w:hAnsi="Times New Roman" w:cs="Times New Roman"/>
          <w:sz w:val="18"/>
          <w:szCs w:val="18"/>
          <w:lang w:val="en-GB" w:bidi="ar-SA"/>
        </w:rPr>
        <w:t xml:space="preserve"> </w:t>
      </w:r>
      <w:r w:rsidR="00C47594">
        <w:rPr>
          <w:rFonts w:ascii="Times New Roman" w:hAnsi="Times New Roman" w:cs="Times New Roman"/>
          <w:sz w:val="18"/>
          <w:szCs w:val="18"/>
          <w:lang w:val="en-GB" w:bidi="ar-SA"/>
        </w:rPr>
        <w:t xml:space="preserve">perspectives on information about materials, </w:t>
      </w:r>
      <w:r w:rsidR="003B5BE0">
        <w:rPr>
          <w:rFonts w:ascii="Times New Roman" w:hAnsi="Times New Roman" w:cs="Times New Roman"/>
          <w:sz w:val="18"/>
          <w:szCs w:val="18"/>
          <w:lang w:val="en-GB" w:bidi="ar-SA"/>
        </w:rPr>
        <w:t>can</w:t>
      </w:r>
      <w:r w:rsidR="00C47594">
        <w:rPr>
          <w:rFonts w:ascii="Times New Roman" w:hAnsi="Times New Roman" w:cs="Times New Roman"/>
          <w:sz w:val="18"/>
          <w:szCs w:val="18"/>
          <w:lang w:val="en-GB" w:bidi="ar-SA"/>
        </w:rPr>
        <w:t xml:space="preserve"> </w:t>
      </w:r>
      <w:r w:rsidRPr="0080788E">
        <w:rPr>
          <w:rFonts w:ascii="Times New Roman" w:hAnsi="Times New Roman" w:cs="Times New Roman"/>
          <w:sz w:val="18"/>
          <w:szCs w:val="18"/>
          <w:lang w:val="en-GB" w:bidi="ar-SA"/>
        </w:rPr>
        <w:t xml:space="preserve">distinguish what we know that we </w:t>
      </w:r>
      <w:r w:rsidR="003B5BE0">
        <w:rPr>
          <w:rFonts w:ascii="Times New Roman" w:hAnsi="Times New Roman" w:cs="Times New Roman"/>
          <w:sz w:val="18"/>
          <w:szCs w:val="18"/>
          <w:lang w:val="en-GB" w:bidi="ar-SA"/>
        </w:rPr>
        <w:t>‘</w:t>
      </w:r>
      <w:r w:rsidR="00C47594">
        <w:rPr>
          <w:rFonts w:ascii="Times New Roman" w:hAnsi="Times New Roman" w:cs="Times New Roman"/>
          <w:sz w:val="18"/>
          <w:szCs w:val="18"/>
          <w:lang w:val="en-GB" w:bidi="ar-SA"/>
        </w:rPr>
        <w:t>need to know</w:t>
      </w:r>
      <w:r w:rsidR="003B5BE0">
        <w:rPr>
          <w:rFonts w:ascii="Times New Roman" w:hAnsi="Times New Roman" w:cs="Times New Roman"/>
          <w:sz w:val="18"/>
          <w:szCs w:val="18"/>
          <w:lang w:val="en-GB" w:bidi="ar-SA"/>
        </w:rPr>
        <w:t>’</w:t>
      </w:r>
      <w:r w:rsidR="00C47594">
        <w:rPr>
          <w:rFonts w:ascii="Times New Roman" w:hAnsi="Times New Roman" w:cs="Times New Roman"/>
          <w:sz w:val="18"/>
          <w:szCs w:val="18"/>
          <w:lang w:val="en-GB" w:bidi="ar-SA"/>
        </w:rPr>
        <w:t xml:space="preserve"> from empirical processes</w:t>
      </w:r>
      <w:r w:rsidRPr="0080788E">
        <w:rPr>
          <w:rFonts w:ascii="Times New Roman" w:hAnsi="Times New Roman" w:cs="Times New Roman"/>
          <w:sz w:val="18"/>
          <w:szCs w:val="18"/>
          <w:lang w:val="en-GB" w:bidi="ar-SA"/>
        </w:rPr>
        <w:t xml:space="preserve">, </w:t>
      </w:r>
      <w:r w:rsidR="0080788E" w:rsidRPr="0080788E">
        <w:rPr>
          <w:rFonts w:ascii="Times New Roman" w:hAnsi="Times New Roman" w:cs="Times New Roman"/>
          <w:i/>
          <w:sz w:val="18"/>
          <w:szCs w:val="18"/>
          <w:lang w:val="en-GB" w:bidi="ar-SA"/>
        </w:rPr>
        <w:t>i.e.</w:t>
      </w:r>
      <w:r w:rsidRPr="0080788E">
        <w:rPr>
          <w:rFonts w:ascii="Times New Roman" w:hAnsi="Times New Roman" w:cs="Times New Roman"/>
          <w:sz w:val="18"/>
          <w:szCs w:val="18"/>
          <w:lang w:val="en-GB" w:bidi="ar-SA"/>
        </w:rPr>
        <w:t xml:space="preserve"> results of current tests </w:t>
      </w:r>
      <w:r w:rsidR="003B5BE0">
        <w:rPr>
          <w:rFonts w:ascii="Times New Roman" w:hAnsi="Times New Roman" w:cs="Times New Roman"/>
          <w:sz w:val="18"/>
          <w:szCs w:val="18"/>
          <w:lang w:val="en-GB" w:bidi="ar-SA"/>
        </w:rPr>
        <w:t xml:space="preserve">and registries that </w:t>
      </w:r>
      <w:r w:rsidRPr="0080788E">
        <w:rPr>
          <w:rFonts w:ascii="Times New Roman" w:hAnsi="Times New Roman" w:cs="Times New Roman"/>
          <w:sz w:val="18"/>
          <w:szCs w:val="18"/>
          <w:lang w:val="en-GB" w:bidi="ar-SA"/>
        </w:rPr>
        <w:t>have been evaluated</w:t>
      </w:r>
      <w:r w:rsidR="00BF0CC1">
        <w:rPr>
          <w:rFonts w:ascii="Times New Roman" w:hAnsi="Times New Roman" w:cs="Times New Roman"/>
          <w:sz w:val="18"/>
          <w:szCs w:val="18"/>
          <w:lang w:val="en-GB" w:bidi="ar-SA"/>
        </w:rPr>
        <w:t xml:space="preserve"> </w:t>
      </w:r>
      <w:r w:rsidR="00BF0CC1">
        <w:rPr>
          <w:rFonts w:ascii="Times New Roman" w:hAnsi="Times New Roman" w:cs="Times New Roman"/>
          <w:sz w:val="18"/>
          <w:szCs w:val="18"/>
          <w:lang w:val="en-GB" w:bidi="ar-SA"/>
        </w:rPr>
        <w:fldChar w:fldCharType="begin"/>
      </w:r>
      <w:r w:rsidR="00960847">
        <w:rPr>
          <w:rFonts w:ascii="Times New Roman" w:hAnsi="Times New Roman" w:cs="Times New Roman"/>
          <w:sz w:val="18"/>
          <w:szCs w:val="18"/>
          <w:lang w:val="en-GB" w:bidi="ar-SA"/>
        </w:rPr>
        <w:instrText xml:space="preserve"> ADDIN REFMGR.CITE &lt;Refman&gt;&lt;Cite&gt;&lt;Author&gt;Alison J Smith&lt;/Author&gt;&lt;Year&gt;2012&lt;/Year&gt;&lt;RecNum&gt;1&lt;/RecNum&gt;&lt;IDText&gt;Failure rates of stemmed metal-on-metal hip replacements: analysis of data from the National Joint Registry of England and Wales&lt;/IDText&gt;&lt;MDL Ref_Type="Journal (Full)"&gt;&lt;Ref_Type&gt;Journal (Full)&lt;/Ref_Type&gt;&lt;Ref_ID&gt;1&lt;/Ref_ID&gt;&lt;Title_Primary&gt;&lt;f name="Shaker2Lancet-Bold"&gt;&lt;b&gt;Failure rates of stemmed metal-on-metal hip replacements: analysis of data from the National Joint Registry of England and Wales&lt;/b&gt;&lt;/f&gt;&lt;/Title_Primary&gt;&lt;Authors_Primary&gt;Alison J Smith,Paul Dieppe,Kelly Vernon,Martyn Porter,Ashley W Blom&lt;/Authors_Primary&gt;&lt;Authors_Primary&gt;on behalf of the National Joint Registry of England and Wales&lt;/Authors_Primary&gt;&lt;Date_Primary&gt;2012/3/13&lt;/Date_Primary&gt;&lt;Reprint&gt;Not in File&lt;/Reprint&gt;&lt;Start_Page&gt;1199&lt;/Start_Page&gt;&lt;End_Page&gt;1204&lt;/End_Page&gt;&lt;Periodical&gt;Lancet&lt;/Periodical&gt;&lt;Volume&gt;379&lt;/Volume&gt;&lt;Misc_3&gt;10.1016/S0140-6736(12)60353-5&lt;/Misc_3&gt;&lt;ZZ_JournalFull&gt;&lt;f name="System"&gt;Lancet&lt;/f&gt;&lt;/ZZ_JournalFull&gt;&lt;ZZ_WorkformID&gt;32&lt;/ZZ_WorkformID&gt;&lt;/MDL&gt;&lt;/Cite&gt;&lt;/Refman&gt;</w:instrText>
      </w:r>
      <w:r w:rsidR="00BF0CC1">
        <w:rPr>
          <w:rFonts w:ascii="Times New Roman" w:hAnsi="Times New Roman" w:cs="Times New Roman"/>
          <w:sz w:val="18"/>
          <w:szCs w:val="18"/>
          <w:lang w:val="en-GB" w:bidi="ar-SA"/>
        </w:rPr>
        <w:fldChar w:fldCharType="separate"/>
      </w:r>
      <w:r w:rsidR="00BF0CC1">
        <w:rPr>
          <w:rFonts w:ascii="Times New Roman" w:hAnsi="Times New Roman" w:cs="Times New Roman"/>
          <w:noProof/>
          <w:sz w:val="18"/>
          <w:szCs w:val="18"/>
          <w:lang w:val="en-GB" w:bidi="ar-SA"/>
        </w:rPr>
        <w:t>(2)</w:t>
      </w:r>
      <w:r w:rsidR="00BF0CC1">
        <w:rPr>
          <w:rFonts w:ascii="Times New Roman" w:hAnsi="Times New Roman" w:cs="Times New Roman"/>
          <w:sz w:val="18"/>
          <w:szCs w:val="18"/>
          <w:lang w:val="en-GB" w:bidi="ar-SA"/>
        </w:rPr>
        <w:fldChar w:fldCharType="end"/>
      </w:r>
      <w:r w:rsidR="00C47594">
        <w:rPr>
          <w:rFonts w:ascii="Times New Roman" w:hAnsi="Times New Roman" w:cs="Times New Roman"/>
          <w:sz w:val="18"/>
          <w:szCs w:val="18"/>
          <w:lang w:val="en-GB" w:bidi="ar-SA"/>
        </w:rPr>
        <w:t>. W</w:t>
      </w:r>
      <w:r w:rsidRPr="0080788E">
        <w:rPr>
          <w:rFonts w:ascii="Times New Roman" w:hAnsi="Times New Roman" w:cs="Times New Roman"/>
          <w:sz w:val="18"/>
          <w:szCs w:val="18"/>
          <w:lang w:val="en-GB" w:bidi="ar-SA"/>
        </w:rPr>
        <w:t xml:space="preserve">hat we don't know that </w:t>
      </w:r>
      <w:r w:rsidR="003B5BE0">
        <w:rPr>
          <w:rFonts w:ascii="Times New Roman" w:hAnsi="Times New Roman" w:cs="Times New Roman"/>
          <w:sz w:val="18"/>
          <w:szCs w:val="18"/>
          <w:lang w:val="en-GB" w:bidi="ar-SA"/>
        </w:rPr>
        <w:t>others</w:t>
      </w:r>
      <w:r w:rsidRPr="0080788E">
        <w:rPr>
          <w:rFonts w:ascii="Times New Roman" w:hAnsi="Times New Roman" w:cs="Times New Roman"/>
          <w:sz w:val="18"/>
          <w:szCs w:val="18"/>
          <w:lang w:val="en-GB" w:bidi="ar-SA"/>
        </w:rPr>
        <w:t xml:space="preserve"> know</w:t>
      </w:r>
      <w:r w:rsidR="003B5BE0">
        <w:rPr>
          <w:rFonts w:ascii="Times New Roman" w:hAnsi="Times New Roman" w:cs="Times New Roman"/>
          <w:sz w:val="18"/>
          <w:szCs w:val="18"/>
          <w:lang w:val="en-GB" w:bidi="ar-SA"/>
        </w:rPr>
        <w:t>,</w:t>
      </w:r>
      <w:r w:rsidRPr="0080788E">
        <w:rPr>
          <w:rFonts w:ascii="Times New Roman" w:hAnsi="Times New Roman" w:cs="Times New Roman"/>
          <w:i/>
          <w:sz w:val="18"/>
          <w:szCs w:val="18"/>
          <w:lang w:val="en-GB" w:bidi="ar-SA"/>
        </w:rPr>
        <w:t xml:space="preserve"> </w:t>
      </w:r>
      <w:r w:rsidR="0080788E" w:rsidRPr="0080788E">
        <w:rPr>
          <w:rFonts w:ascii="Times New Roman" w:hAnsi="Times New Roman" w:cs="Times New Roman"/>
          <w:i/>
          <w:sz w:val="18"/>
          <w:szCs w:val="18"/>
          <w:lang w:val="en-GB" w:bidi="ar-SA"/>
        </w:rPr>
        <w:t>i.e.</w:t>
      </w:r>
      <w:r w:rsidRPr="0080788E">
        <w:rPr>
          <w:rFonts w:ascii="Times New Roman" w:hAnsi="Times New Roman" w:cs="Times New Roman"/>
          <w:i/>
          <w:sz w:val="18"/>
          <w:szCs w:val="18"/>
          <w:lang w:val="en-GB" w:bidi="ar-SA"/>
        </w:rPr>
        <w:t xml:space="preserve"> </w:t>
      </w:r>
      <w:r w:rsidR="00C47594">
        <w:rPr>
          <w:rFonts w:ascii="Times New Roman" w:hAnsi="Times New Roman" w:cs="Times New Roman"/>
          <w:sz w:val="18"/>
          <w:szCs w:val="18"/>
          <w:lang w:val="en-GB" w:bidi="ar-SA"/>
        </w:rPr>
        <w:t>information that</w:t>
      </w:r>
      <w:r w:rsidRPr="0080788E">
        <w:rPr>
          <w:rFonts w:ascii="Times New Roman" w:hAnsi="Times New Roman" w:cs="Times New Roman"/>
          <w:sz w:val="18"/>
          <w:szCs w:val="18"/>
          <w:lang w:val="en-GB" w:bidi="ar-SA"/>
        </w:rPr>
        <w:t xml:space="preserve"> is </w:t>
      </w:r>
      <w:r w:rsidR="00C47594">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out there</w:t>
      </w:r>
      <w:r w:rsidR="00C47594">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from different sources including </w:t>
      </w:r>
      <w:r w:rsidR="00C47594">
        <w:rPr>
          <w:rFonts w:ascii="Times New Roman" w:hAnsi="Times New Roman" w:cs="Times New Roman"/>
          <w:sz w:val="18"/>
          <w:szCs w:val="18"/>
          <w:lang w:val="en-GB" w:bidi="ar-SA"/>
        </w:rPr>
        <w:t>prorietary databases</w:t>
      </w:r>
      <w:r w:rsidRPr="0080788E">
        <w:rPr>
          <w:rFonts w:ascii="Times New Roman" w:hAnsi="Times New Roman" w:cs="Times New Roman"/>
          <w:sz w:val="18"/>
          <w:szCs w:val="18"/>
          <w:lang w:val="en-GB" w:bidi="ar-SA"/>
        </w:rPr>
        <w:t xml:space="preserve"> that h</w:t>
      </w:r>
      <w:r w:rsidR="00C47594">
        <w:rPr>
          <w:rFonts w:ascii="Times New Roman" w:hAnsi="Times New Roman" w:cs="Times New Roman"/>
          <w:sz w:val="18"/>
          <w:szCs w:val="18"/>
          <w:lang w:val="en-GB" w:bidi="ar-SA"/>
        </w:rPr>
        <w:t>o</w:t>
      </w:r>
      <w:r w:rsidRPr="0080788E">
        <w:rPr>
          <w:rFonts w:ascii="Times New Roman" w:hAnsi="Times New Roman" w:cs="Times New Roman"/>
          <w:sz w:val="18"/>
          <w:szCs w:val="18"/>
          <w:lang w:val="en-GB" w:bidi="ar-SA"/>
        </w:rPr>
        <w:t xml:space="preserve">ld intellectual property securely in industry, and things that we </w:t>
      </w:r>
      <w:r w:rsidR="00C47594">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know</w:t>
      </w:r>
      <w:r w:rsidR="00C47594">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w:t>
      </w:r>
      <w:r w:rsidR="00C47594">
        <w:rPr>
          <w:rFonts w:ascii="Times New Roman" w:hAnsi="Times New Roman" w:cs="Times New Roman"/>
          <w:sz w:val="18"/>
          <w:szCs w:val="18"/>
          <w:lang w:val="en-GB" w:bidi="ar-SA"/>
        </w:rPr>
        <w:t>that are</w:t>
      </w:r>
      <w:r w:rsidRPr="0080788E">
        <w:rPr>
          <w:rFonts w:ascii="Times New Roman" w:hAnsi="Times New Roman" w:cs="Times New Roman"/>
          <w:sz w:val="18"/>
          <w:szCs w:val="18"/>
          <w:lang w:val="en-GB" w:bidi="ar-SA"/>
        </w:rPr>
        <w:t xml:space="preserve"> </w:t>
      </w:r>
      <w:r w:rsidR="00C47594">
        <w:rPr>
          <w:rFonts w:ascii="Times New Roman" w:hAnsi="Times New Roman" w:cs="Times New Roman"/>
          <w:sz w:val="18"/>
          <w:szCs w:val="18"/>
          <w:lang w:val="en-GB" w:bidi="ar-SA"/>
        </w:rPr>
        <w:t>‘un</w:t>
      </w:r>
      <w:r w:rsidRPr="0080788E">
        <w:rPr>
          <w:rFonts w:ascii="Times New Roman" w:hAnsi="Times New Roman" w:cs="Times New Roman"/>
          <w:sz w:val="18"/>
          <w:szCs w:val="18"/>
          <w:lang w:val="en-GB" w:bidi="ar-SA"/>
        </w:rPr>
        <w:t>know</w:t>
      </w:r>
      <w:r w:rsidR="00C47594">
        <w:rPr>
          <w:rFonts w:ascii="Times New Roman" w:hAnsi="Times New Roman" w:cs="Times New Roman"/>
          <w:sz w:val="18"/>
          <w:szCs w:val="18"/>
          <w:lang w:val="en-GB" w:bidi="ar-SA"/>
        </w:rPr>
        <w:t>n’ (KU)</w:t>
      </w:r>
      <w:r w:rsidR="003B5BE0">
        <w:rPr>
          <w:rFonts w:ascii="Times New Roman" w:hAnsi="Times New Roman" w:cs="Times New Roman"/>
          <w:sz w:val="18"/>
          <w:szCs w:val="18"/>
          <w:lang w:val="en-GB" w:bidi="ar-SA"/>
        </w:rPr>
        <w:t>. The latter in</w:t>
      </w:r>
      <w:r w:rsidR="00C47594">
        <w:rPr>
          <w:rFonts w:ascii="Times New Roman" w:hAnsi="Times New Roman" w:cs="Times New Roman"/>
          <w:sz w:val="18"/>
          <w:szCs w:val="18"/>
          <w:lang w:val="en-GB" w:bidi="ar-SA"/>
        </w:rPr>
        <w:t xml:space="preserve">cludes </w:t>
      </w:r>
      <w:r w:rsidR="00C47594" w:rsidRPr="0080788E">
        <w:rPr>
          <w:rFonts w:ascii="Times New Roman" w:hAnsi="Times New Roman" w:cs="Times New Roman"/>
          <w:sz w:val="18"/>
          <w:szCs w:val="18"/>
          <w:lang w:val="en-GB" w:bidi="ar-SA"/>
        </w:rPr>
        <w:t>the information</w:t>
      </w:r>
      <w:r w:rsidRPr="0080788E">
        <w:rPr>
          <w:rFonts w:ascii="Times New Roman" w:hAnsi="Times New Roman" w:cs="Times New Roman"/>
          <w:sz w:val="18"/>
          <w:szCs w:val="18"/>
          <w:lang w:val="en-GB" w:bidi="ar-SA"/>
        </w:rPr>
        <w:t xml:space="preserve"> </w:t>
      </w:r>
      <w:r w:rsidR="00C47594">
        <w:rPr>
          <w:rFonts w:ascii="Times New Roman" w:hAnsi="Times New Roman" w:cs="Times New Roman"/>
          <w:sz w:val="18"/>
          <w:szCs w:val="18"/>
          <w:lang w:val="en-GB" w:bidi="ar-SA"/>
        </w:rPr>
        <w:t xml:space="preserve">that </w:t>
      </w:r>
      <w:r w:rsidR="00C47594" w:rsidRPr="0080788E">
        <w:rPr>
          <w:rFonts w:ascii="Times New Roman" w:hAnsi="Times New Roman" w:cs="Times New Roman"/>
          <w:sz w:val="18"/>
          <w:szCs w:val="18"/>
          <w:lang w:val="en-GB" w:bidi="ar-SA"/>
        </w:rPr>
        <w:t xml:space="preserve">registries </w:t>
      </w:r>
      <w:r w:rsidR="003B5BE0">
        <w:rPr>
          <w:rFonts w:ascii="Times New Roman" w:hAnsi="Times New Roman" w:cs="Times New Roman"/>
          <w:sz w:val="18"/>
          <w:szCs w:val="18"/>
          <w:lang w:val="en-GB" w:bidi="ar-SA"/>
        </w:rPr>
        <w:t xml:space="preserve">can </w:t>
      </w:r>
      <w:r w:rsidR="00C47594">
        <w:rPr>
          <w:rFonts w:ascii="Times New Roman" w:hAnsi="Times New Roman" w:cs="Times New Roman"/>
          <w:sz w:val="18"/>
          <w:szCs w:val="18"/>
          <w:lang w:val="en-GB" w:bidi="ar-SA"/>
        </w:rPr>
        <w:t xml:space="preserve">provide us with. These </w:t>
      </w:r>
      <w:r w:rsidR="003B5BE0">
        <w:rPr>
          <w:rFonts w:ascii="Times New Roman" w:hAnsi="Times New Roman" w:cs="Times New Roman"/>
          <w:sz w:val="18"/>
          <w:szCs w:val="18"/>
          <w:lang w:val="en-GB" w:bidi="ar-SA"/>
        </w:rPr>
        <w:t xml:space="preserve">also </w:t>
      </w:r>
      <w:r w:rsidR="00C47594">
        <w:rPr>
          <w:rFonts w:ascii="Times New Roman" w:hAnsi="Times New Roman" w:cs="Times New Roman"/>
          <w:sz w:val="18"/>
          <w:szCs w:val="18"/>
          <w:lang w:val="en-GB" w:bidi="ar-SA"/>
        </w:rPr>
        <w:t xml:space="preserve">include case </w:t>
      </w:r>
      <w:r w:rsidRPr="0080788E">
        <w:rPr>
          <w:rFonts w:ascii="Times New Roman" w:hAnsi="Times New Roman" w:cs="Times New Roman"/>
          <w:sz w:val="18"/>
          <w:szCs w:val="18"/>
          <w:lang w:val="en-GB" w:bidi="ar-SA"/>
        </w:rPr>
        <w:t>series, and potentially drive further registry development</w:t>
      </w:r>
      <w:r w:rsidR="00C47594">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integrated with </w:t>
      </w:r>
      <w:r w:rsidR="00C47594">
        <w:rPr>
          <w:rFonts w:ascii="Times New Roman" w:hAnsi="Times New Roman" w:cs="Times New Roman"/>
          <w:sz w:val="18"/>
          <w:szCs w:val="18"/>
          <w:lang w:val="en-GB" w:bidi="ar-SA"/>
        </w:rPr>
        <w:t>failed device ‘</w:t>
      </w:r>
      <w:r w:rsidRPr="0080788E">
        <w:rPr>
          <w:rFonts w:ascii="Times New Roman" w:hAnsi="Times New Roman" w:cs="Times New Roman"/>
          <w:sz w:val="18"/>
          <w:szCs w:val="18"/>
          <w:lang w:val="en-GB" w:bidi="ar-SA"/>
        </w:rPr>
        <w:t>Retrieval</w:t>
      </w:r>
      <w:r w:rsidR="00C47594">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information</w:t>
      </w:r>
      <w:r w:rsidR="00BF0CC1">
        <w:rPr>
          <w:rFonts w:ascii="Times New Roman" w:hAnsi="Times New Roman" w:cs="Times New Roman"/>
          <w:sz w:val="18"/>
          <w:szCs w:val="18"/>
          <w:lang w:val="en-GB" w:bidi="ar-SA"/>
        </w:rPr>
        <w:t xml:space="preserve"> – ‘</w:t>
      </w:r>
      <w:r w:rsidR="00C47594">
        <w:rPr>
          <w:rFonts w:ascii="Times New Roman" w:hAnsi="Times New Roman" w:cs="Times New Roman"/>
          <w:sz w:val="18"/>
          <w:szCs w:val="18"/>
          <w:lang w:val="en-GB" w:bidi="ar-SA"/>
        </w:rPr>
        <w:t xml:space="preserve">Unknown </w:t>
      </w:r>
      <w:proofErr w:type="gramStart"/>
      <w:r w:rsidR="00C47594">
        <w:rPr>
          <w:rFonts w:ascii="Times New Roman" w:hAnsi="Times New Roman" w:cs="Times New Roman"/>
          <w:sz w:val="18"/>
          <w:szCs w:val="18"/>
          <w:lang w:val="en-GB" w:bidi="ar-SA"/>
        </w:rPr>
        <w:t>Knowns</w:t>
      </w:r>
      <w:r w:rsidR="00BF0CC1">
        <w:rPr>
          <w:rFonts w:ascii="Times New Roman" w:hAnsi="Times New Roman" w:cs="Times New Roman"/>
          <w:sz w:val="18"/>
          <w:szCs w:val="18"/>
          <w:lang w:val="en-GB" w:bidi="ar-SA"/>
        </w:rPr>
        <w:t>’(</w:t>
      </w:r>
      <w:proofErr w:type="gramEnd"/>
      <w:r w:rsidR="00C47594">
        <w:rPr>
          <w:rFonts w:ascii="Times New Roman" w:hAnsi="Times New Roman" w:cs="Times New Roman"/>
          <w:sz w:val="18"/>
          <w:szCs w:val="18"/>
          <w:lang w:val="en-GB" w:bidi="ar-SA"/>
        </w:rPr>
        <w:t>UK)</w:t>
      </w:r>
      <w:r w:rsidRPr="0080788E">
        <w:rPr>
          <w:rFonts w:ascii="Times New Roman" w:hAnsi="Times New Roman" w:cs="Times New Roman"/>
          <w:sz w:val="18"/>
          <w:szCs w:val="18"/>
          <w:lang w:val="en-GB" w:bidi="ar-SA"/>
        </w:rPr>
        <w:t>.</w:t>
      </w:r>
      <w:r w:rsidR="003B5BE0">
        <w:rPr>
          <w:rFonts w:ascii="Times New Roman" w:hAnsi="Times New Roman" w:cs="Times New Roman"/>
          <w:sz w:val="18"/>
          <w:szCs w:val="18"/>
          <w:lang w:val="en-GB" w:bidi="ar-SA"/>
        </w:rPr>
        <w:t xml:space="preserve"> The adaptation for a ‘Creative Commons’ approach could rapidly progress this process ensuring legal protection through appropriate licencing </w:t>
      </w:r>
      <w:r w:rsidR="00BF0CC1">
        <w:rPr>
          <w:rFonts w:ascii="Times New Roman" w:hAnsi="Times New Roman" w:cs="Times New Roman"/>
          <w:sz w:val="18"/>
          <w:szCs w:val="18"/>
          <w:lang w:val="en-GB" w:bidi="ar-SA"/>
        </w:rPr>
        <w:fldChar w:fldCharType="begin"/>
      </w:r>
      <w:r w:rsidR="00960847">
        <w:rPr>
          <w:rFonts w:ascii="Times New Roman" w:hAnsi="Times New Roman" w:cs="Times New Roman"/>
          <w:sz w:val="18"/>
          <w:szCs w:val="18"/>
          <w:lang w:val="en-GB" w:bidi="ar-SA"/>
        </w:rPr>
        <w:instrText xml:space="preserve"> ADDIN REFMGR.CITE &lt;Refman&gt;&lt;Cite&gt;&lt;Year&gt;2012&lt;/Year&gt;&lt;RecNum&gt;3&lt;/RecNum&gt;&lt;IDText&gt;Creative Commons Licences&lt;/IDText&gt;&lt;MDL Ref_Type="Internet Communication"&gt;&lt;Ref_Type&gt;Internet Communication&lt;/Ref_Type&gt;&lt;Ref_ID&gt;3&lt;/Ref_ID&gt;&lt;Title_Primary&gt;Creative Commons Licences&lt;/Title_Primary&gt;&lt;Date_Primary&gt;2012/5/22&lt;/Date_Primary&gt;&lt;Reprint&gt;Not in File&lt;/Reprint&gt;&lt;Web_URL&gt;&lt;u&gt;http://creativecommons.org/licenses/&lt;/u&gt;&lt;/Web_URL&gt;&lt;ZZ_WorkformID&gt;35&lt;/ZZ_WorkformID&gt;&lt;/MDL&gt;&lt;/Cite&gt;&lt;/Refman&gt;</w:instrText>
      </w:r>
      <w:r w:rsidR="00BF0CC1">
        <w:rPr>
          <w:rFonts w:ascii="Times New Roman" w:hAnsi="Times New Roman" w:cs="Times New Roman"/>
          <w:sz w:val="18"/>
          <w:szCs w:val="18"/>
          <w:lang w:val="en-GB" w:bidi="ar-SA"/>
        </w:rPr>
        <w:fldChar w:fldCharType="separate"/>
      </w:r>
      <w:r w:rsidR="00BF0CC1">
        <w:rPr>
          <w:rFonts w:ascii="Times New Roman" w:hAnsi="Times New Roman" w:cs="Times New Roman"/>
          <w:noProof/>
          <w:sz w:val="18"/>
          <w:szCs w:val="18"/>
          <w:lang w:val="en-GB" w:bidi="ar-SA"/>
        </w:rPr>
        <w:t>(3)</w:t>
      </w:r>
      <w:r w:rsidR="00BF0CC1">
        <w:rPr>
          <w:rFonts w:ascii="Times New Roman" w:hAnsi="Times New Roman" w:cs="Times New Roman"/>
          <w:sz w:val="18"/>
          <w:szCs w:val="18"/>
          <w:lang w:val="en-GB" w:bidi="ar-SA"/>
        </w:rPr>
        <w:fldChar w:fldCharType="end"/>
      </w:r>
      <w:r w:rsidR="00BF0CC1">
        <w:rPr>
          <w:rFonts w:ascii="Times New Roman" w:hAnsi="Times New Roman" w:cs="Times New Roman"/>
          <w:sz w:val="18"/>
          <w:szCs w:val="18"/>
          <w:lang w:val="en-GB" w:bidi="ar-SA"/>
        </w:rPr>
        <w:t>.</w:t>
      </w:r>
    </w:p>
    <w:p w:rsidR="00806F74" w:rsidRPr="0080788E" w:rsidRDefault="00806F74" w:rsidP="006809D7">
      <w:pPr>
        <w:autoSpaceDE w:val="0"/>
        <w:autoSpaceDN w:val="0"/>
        <w:adjustRightInd w:val="0"/>
        <w:spacing w:after="0" w:line="240" w:lineRule="auto"/>
        <w:jc w:val="both"/>
        <w:rPr>
          <w:rFonts w:ascii="Times New Roman" w:hAnsi="Times New Roman" w:cs="Times New Roman"/>
          <w:sz w:val="18"/>
          <w:szCs w:val="18"/>
          <w:lang w:val="en-GB" w:bidi="ar-SA"/>
        </w:rPr>
      </w:pPr>
      <w:r w:rsidRPr="0080788E">
        <w:rPr>
          <w:rFonts w:ascii="Times New Roman" w:hAnsi="Times New Roman" w:cs="Times New Roman"/>
          <w:sz w:val="18"/>
          <w:szCs w:val="18"/>
          <w:lang w:val="en-GB" w:bidi="ar-SA"/>
        </w:rPr>
        <w:t>The last category is the "unknown unknowns"</w:t>
      </w:r>
      <w:r w:rsidR="00C47594">
        <w:rPr>
          <w:rFonts w:ascii="Times New Roman" w:hAnsi="Times New Roman" w:cs="Times New Roman"/>
          <w:sz w:val="18"/>
          <w:szCs w:val="18"/>
          <w:lang w:val="en-GB" w:bidi="ar-SA"/>
        </w:rPr>
        <w:t xml:space="preserve"> (UU)</w:t>
      </w:r>
      <w:r w:rsidRPr="0080788E">
        <w:rPr>
          <w:rFonts w:ascii="Times New Roman" w:hAnsi="Times New Roman" w:cs="Times New Roman"/>
          <w:sz w:val="18"/>
          <w:szCs w:val="18"/>
          <w:lang w:val="en-GB" w:bidi="ar-SA"/>
        </w:rPr>
        <w:t>, where there may be future tests</w:t>
      </w:r>
      <w:r w:rsidR="00AF1D09">
        <w:rPr>
          <w:rFonts w:ascii="Times New Roman" w:hAnsi="Times New Roman" w:cs="Times New Roman"/>
          <w:sz w:val="18"/>
          <w:szCs w:val="18"/>
          <w:lang w:val="en-GB" w:bidi="ar-SA"/>
        </w:rPr>
        <w:t xml:space="preserve">. </w:t>
      </w:r>
      <w:r w:rsidR="003B5BE0">
        <w:rPr>
          <w:rFonts w:ascii="Times New Roman" w:hAnsi="Times New Roman" w:cs="Times New Roman"/>
          <w:sz w:val="18"/>
          <w:szCs w:val="18"/>
          <w:lang w:val="en-GB" w:bidi="ar-SA"/>
        </w:rPr>
        <w:t>T</w:t>
      </w:r>
      <w:r w:rsidR="00AF1D09">
        <w:rPr>
          <w:rFonts w:ascii="Times New Roman" w:hAnsi="Times New Roman" w:cs="Times New Roman"/>
          <w:sz w:val="18"/>
          <w:szCs w:val="18"/>
          <w:lang w:val="en-GB" w:bidi="ar-SA"/>
        </w:rPr>
        <w:t xml:space="preserve">he clinical outcomes will </w:t>
      </w:r>
      <w:r w:rsidR="003B5BE0">
        <w:rPr>
          <w:rFonts w:ascii="Times New Roman" w:hAnsi="Times New Roman" w:cs="Times New Roman"/>
          <w:sz w:val="18"/>
          <w:szCs w:val="18"/>
          <w:lang w:val="en-GB" w:bidi="ar-SA"/>
        </w:rPr>
        <w:t>u</w:t>
      </w:r>
      <w:r w:rsidR="003B5BE0" w:rsidRPr="0080788E">
        <w:rPr>
          <w:rFonts w:ascii="Times New Roman" w:hAnsi="Times New Roman" w:cs="Times New Roman"/>
          <w:sz w:val="18"/>
          <w:szCs w:val="18"/>
          <w:lang w:val="en-GB" w:bidi="ar-SA"/>
        </w:rPr>
        <w:t xml:space="preserve">ltimately </w:t>
      </w:r>
      <w:r w:rsidRPr="0080788E">
        <w:rPr>
          <w:rFonts w:ascii="Times New Roman" w:hAnsi="Times New Roman" w:cs="Times New Roman"/>
          <w:sz w:val="18"/>
          <w:szCs w:val="18"/>
          <w:lang w:val="en-GB" w:bidi="ar-SA"/>
        </w:rPr>
        <w:t>provide information need</w:t>
      </w:r>
      <w:r w:rsidR="003B5BE0">
        <w:rPr>
          <w:rFonts w:ascii="Times New Roman" w:hAnsi="Times New Roman" w:cs="Times New Roman"/>
          <w:sz w:val="18"/>
          <w:szCs w:val="18"/>
          <w:lang w:val="en-GB" w:bidi="ar-SA"/>
        </w:rPr>
        <w:t>ed</w:t>
      </w:r>
      <w:r w:rsidRPr="0080788E">
        <w:rPr>
          <w:rFonts w:ascii="Times New Roman" w:hAnsi="Times New Roman" w:cs="Times New Roman"/>
          <w:sz w:val="18"/>
          <w:szCs w:val="18"/>
          <w:lang w:val="en-GB" w:bidi="ar-SA"/>
        </w:rPr>
        <w:t xml:space="preserve"> to reach </w:t>
      </w:r>
      <w:r w:rsidR="003B5BE0">
        <w:rPr>
          <w:rFonts w:ascii="Times New Roman" w:hAnsi="Times New Roman" w:cs="Times New Roman"/>
          <w:sz w:val="18"/>
          <w:szCs w:val="18"/>
          <w:lang w:val="en-GB" w:bidi="ar-SA"/>
        </w:rPr>
        <w:t>sound</w:t>
      </w:r>
      <w:r w:rsidR="00AF1D09">
        <w:rPr>
          <w:rFonts w:ascii="Times New Roman" w:hAnsi="Times New Roman" w:cs="Times New Roman"/>
          <w:sz w:val="18"/>
          <w:szCs w:val="18"/>
          <w:lang w:val="en-GB" w:bidi="ar-SA"/>
        </w:rPr>
        <w:t xml:space="preserve"> conclusions, but</w:t>
      </w:r>
      <w:r w:rsidRPr="0080788E">
        <w:rPr>
          <w:rFonts w:ascii="Times New Roman" w:hAnsi="Times New Roman" w:cs="Times New Roman"/>
          <w:sz w:val="18"/>
          <w:szCs w:val="18"/>
          <w:lang w:val="en-GB" w:bidi="ar-SA"/>
        </w:rPr>
        <w:t xml:space="preserve"> at the moment </w:t>
      </w:r>
      <w:r w:rsidR="00AF1D09">
        <w:rPr>
          <w:rFonts w:ascii="Times New Roman" w:hAnsi="Times New Roman" w:cs="Times New Roman"/>
          <w:sz w:val="18"/>
          <w:szCs w:val="18"/>
          <w:lang w:val="en-GB" w:bidi="ar-SA"/>
        </w:rPr>
        <w:t>this is</w:t>
      </w:r>
      <w:r w:rsidRPr="0080788E">
        <w:rPr>
          <w:rFonts w:ascii="Times New Roman" w:hAnsi="Times New Roman" w:cs="Times New Roman"/>
          <w:sz w:val="18"/>
          <w:szCs w:val="18"/>
          <w:lang w:val="en-GB" w:bidi="ar-SA"/>
        </w:rPr>
        <w:t xml:space="preserve"> not yet in </w:t>
      </w:r>
      <w:r w:rsidRPr="0080788E">
        <w:rPr>
          <w:rFonts w:ascii="Times New Roman" w:hAnsi="Times New Roman" w:cs="Times New Roman"/>
          <w:sz w:val="18"/>
          <w:szCs w:val="18"/>
          <w:lang w:val="en-GB" w:bidi="ar-SA"/>
        </w:rPr>
        <w:lastRenderedPageBreak/>
        <w:t xml:space="preserve">existence. </w:t>
      </w:r>
      <w:r w:rsidR="00AF1D09">
        <w:rPr>
          <w:rFonts w:ascii="Times New Roman" w:hAnsi="Times New Roman" w:cs="Times New Roman"/>
          <w:sz w:val="18"/>
          <w:szCs w:val="18"/>
          <w:lang w:val="en-GB" w:bidi="ar-SA"/>
        </w:rPr>
        <w:t xml:space="preserve"> T</w:t>
      </w:r>
      <w:r w:rsidRPr="0080788E">
        <w:rPr>
          <w:rFonts w:ascii="Times New Roman" w:hAnsi="Times New Roman" w:cs="Times New Roman"/>
          <w:sz w:val="18"/>
          <w:szCs w:val="18"/>
          <w:lang w:val="en-GB" w:bidi="ar-SA"/>
        </w:rPr>
        <w:t xml:space="preserve">hese may relate to </w:t>
      </w:r>
      <w:r w:rsidR="00C640DB">
        <w:rPr>
          <w:rFonts w:ascii="Times New Roman" w:hAnsi="Times New Roman" w:cs="Times New Roman"/>
          <w:sz w:val="18"/>
          <w:szCs w:val="18"/>
          <w:lang w:val="en-GB" w:bidi="ar-SA"/>
        </w:rPr>
        <w:t xml:space="preserve">the consequences of </w:t>
      </w:r>
      <w:r w:rsidRPr="0080788E">
        <w:rPr>
          <w:rFonts w:ascii="Times New Roman" w:hAnsi="Times New Roman" w:cs="Times New Roman"/>
          <w:sz w:val="18"/>
          <w:szCs w:val="18"/>
          <w:lang w:val="en-GB" w:bidi="ar-SA"/>
        </w:rPr>
        <w:t xml:space="preserve">higher levels </w:t>
      </w:r>
      <w:r w:rsidR="00C640DB">
        <w:rPr>
          <w:rFonts w:ascii="Times New Roman" w:hAnsi="Times New Roman" w:cs="Times New Roman"/>
          <w:sz w:val="18"/>
          <w:szCs w:val="18"/>
          <w:lang w:val="en-GB" w:bidi="ar-SA"/>
        </w:rPr>
        <w:t>or</w:t>
      </w:r>
      <w:r w:rsidRPr="0080788E">
        <w:rPr>
          <w:rFonts w:ascii="Times New Roman" w:hAnsi="Times New Roman" w:cs="Times New Roman"/>
          <w:sz w:val="18"/>
          <w:szCs w:val="18"/>
          <w:lang w:val="en-GB" w:bidi="ar-SA"/>
        </w:rPr>
        <w:t xml:space="preserve"> to clinical examination through </w:t>
      </w:r>
      <w:r w:rsidR="003B5BE0">
        <w:rPr>
          <w:rFonts w:ascii="Times New Roman" w:hAnsi="Times New Roman" w:cs="Times New Roman"/>
          <w:sz w:val="18"/>
          <w:szCs w:val="18"/>
          <w:lang w:val="en-GB" w:bidi="ar-SA"/>
        </w:rPr>
        <w:t xml:space="preserve">modalities such as </w:t>
      </w:r>
      <w:r w:rsidR="00C640DB">
        <w:rPr>
          <w:rFonts w:ascii="Times New Roman" w:hAnsi="Times New Roman" w:cs="Times New Roman"/>
          <w:sz w:val="18"/>
          <w:szCs w:val="18"/>
          <w:lang w:val="en-GB" w:bidi="ar-SA"/>
        </w:rPr>
        <w:t>Magnetic R</w:t>
      </w:r>
      <w:r w:rsidRPr="0080788E">
        <w:rPr>
          <w:rFonts w:ascii="Times New Roman" w:hAnsi="Times New Roman" w:cs="Times New Roman"/>
          <w:sz w:val="18"/>
          <w:szCs w:val="18"/>
          <w:lang w:val="en-GB" w:bidi="ar-SA"/>
        </w:rPr>
        <w:t xml:space="preserve">esonance </w:t>
      </w:r>
      <w:r w:rsidR="00C640DB">
        <w:rPr>
          <w:rFonts w:ascii="Times New Roman" w:hAnsi="Times New Roman" w:cs="Times New Roman"/>
          <w:sz w:val="18"/>
          <w:szCs w:val="18"/>
          <w:lang w:val="en-GB" w:bidi="ar-SA"/>
        </w:rPr>
        <w:t>I</w:t>
      </w:r>
      <w:r w:rsidRPr="0080788E">
        <w:rPr>
          <w:rFonts w:ascii="Times New Roman" w:hAnsi="Times New Roman" w:cs="Times New Roman"/>
          <w:sz w:val="18"/>
          <w:szCs w:val="18"/>
          <w:lang w:val="en-GB" w:bidi="ar-SA"/>
        </w:rPr>
        <w:t xml:space="preserve">maging (MRI) or </w:t>
      </w:r>
      <w:r w:rsidR="00C640DB">
        <w:rPr>
          <w:rFonts w:ascii="Times New Roman" w:hAnsi="Times New Roman" w:cs="Times New Roman"/>
          <w:sz w:val="18"/>
          <w:szCs w:val="18"/>
          <w:lang w:val="en-GB" w:bidi="ar-SA"/>
        </w:rPr>
        <w:t>U</w:t>
      </w:r>
      <w:r w:rsidRPr="0080788E">
        <w:rPr>
          <w:rFonts w:ascii="Times New Roman" w:hAnsi="Times New Roman" w:cs="Times New Roman"/>
          <w:sz w:val="18"/>
          <w:szCs w:val="18"/>
          <w:lang w:val="en-GB" w:bidi="ar-SA"/>
        </w:rPr>
        <w:t xml:space="preserve">ltrasound </w:t>
      </w:r>
      <w:r w:rsidR="00C640DB">
        <w:rPr>
          <w:rFonts w:ascii="Times New Roman" w:hAnsi="Times New Roman" w:cs="Times New Roman"/>
          <w:sz w:val="18"/>
          <w:szCs w:val="18"/>
          <w:lang w:val="en-GB" w:bidi="ar-SA"/>
        </w:rPr>
        <w:t>S</w:t>
      </w:r>
      <w:r w:rsidRPr="0080788E">
        <w:rPr>
          <w:rFonts w:ascii="Times New Roman" w:hAnsi="Times New Roman" w:cs="Times New Roman"/>
          <w:sz w:val="18"/>
          <w:szCs w:val="18"/>
          <w:lang w:val="en-GB" w:bidi="ar-SA"/>
        </w:rPr>
        <w:t>canning (USS)</w:t>
      </w:r>
      <w:r w:rsidR="003B5BE0">
        <w:rPr>
          <w:rFonts w:ascii="Times New Roman" w:hAnsi="Times New Roman" w:cs="Times New Roman"/>
          <w:sz w:val="18"/>
          <w:szCs w:val="18"/>
          <w:lang w:val="en-GB" w:bidi="ar-SA"/>
        </w:rPr>
        <w:t xml:space="preserve"> or multimodal imaging</w:t>
      </w:r>
      <w:r w:rsidRPr="0080788E">
        <w:rPr>
          <w:rFonts w:ascii="Times New Roman" w:hAnsi="Times New Roman" w:cs="Times New Roman"/>
          <w:sz w:val="18"/>
          <w:szCs w:val="18"/>
          <w:lang w:val="en-GB" w:bidi="ar-SA"/>
        </w:rPr>
        <w:t>. Whatever the technology or technique, the question is how to inform the process of future implants design.</w:t>
      </w:r>
    </w:p>
    <w:p w:rsidR="00806F74" w:rsidRPr="0080788E" w:rsidRDefault="00806F74" w:rsidP="006809D7">
      <w:pPr>
        <w:autoSpaceDE w:val="0"/>
        <w:autoSpaceDN w:val="0"/>
        <w:adjustRightInd w:val="0"/>
        <w:spacing w:after="0" w:line="240" w:lineRule="auto"/>
        <w:jc w:val="both"/>
        <w:rPr>
          <w:rFonts w:ascii="Times New Roman" w:hAnsi="Times New Roman" w:cs="Times New Roman"/>
          <w:sz w:val="18"/>
          <w:szCs w:val="18"/>
          <w:lang w:val="en-GB" w:bidi="ar-SA"/>
        </w:rPr>
      </w:pPr>
      <w:r w:rsidRPr="0080788E">
        <w:rPr>
          <w:rFonts w:ascii="Times New Roman" w:hAnsi="Times New Roman" w:cs="Times New Roman"/>
          <w:sz w:val="18"/>
          <w:szCs w:val="18"/>
          <w:lang w:val="en-GB" w:bidi="ar-SA"/>
        </w:rPr>
        <w:t>Since there are no long-term evaluations</w:t>
      </w:r>
      <w:r w:rsidR="00685810">
        <w:rPr>
          <w:rFonts w:ascii="Times New Roman" w:hAnsi="Times New Roman" w:cs="Times New Roman"/>
          <w:sz w:val="18"/>
          <w:szCs w:val="18"/>
          <w:lang w:val="en-GB" w:bidi="ar-SA"/>
        </w:rPr>
        <w:t xml:space="preserve"> at this stage</w:t>
      </w:r>
      <w:r w:rsidRPr="0080788E">
        <w:rPr>
          <w:rFonts w:ascii="Times New Roman" w:hAnsi="Times New Roman" w:cs="Times New Roman"/>
          <w:sz w:val="18"/>
          <w:szCs w:val="18"/>
          <w:lang w:val="en-GB" w:bidi="ar-SA"/>
        </w:rPr>
        <w:t>, the question is also one of whether there are reli</w:t>
      </w:r>
      <w:r w:rsidR="00685810">
        <w:rPr>
          <w:rFonts w:ascii="Times New Roman" w:hAnsi="Times New Roman" w:cs="Times New Roman"/>
          <w:sz w:val="18"/>
          <w:szCs w:val="18"/>
          <w:lang w:val="en-GB" w:bidi="ar-SA"/>
        </w:rPr>
        <w:t>able and robust short-</w:t>
      </w:r>
      <w:r w:rsidR="00C640DB">
        <w:rPr>
          <w:rFonts w:ascii="Times New Roman" w:hAnsi="Times New Roman" w:cs="Times New Roman"/>
          <w:sz w:val="18"/>
          <w:szCs w:val="18"/>
          <w:lang w:val="en-GB" w:bidi="ar-SA"/>
        </w:rPr>
        <w:t>term post-</w:t>
      </w:r>
      <w:r w:rsidRPr="0080788E">
        <w:rPr>
          <w:rFonts w:ascii="Times New Roman" w:hAnsi="Times New Roman" w:cs="Times New Roman"/>
          <w:sz w:val="18"/>
          <w:szCs w:val="18"/>
          <w:lang w:val="en-GB" w:bidi="ar-SA"/>
        </w:rPr>
        <w:t>implantation surrogate measures which can predict failure</w:t>
      </w:r>
      <w:r w:rsidR="00685810">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as has successfully be seen with R</w:t>
      </w:r>
      <w:r w:rsidR="00E1377A">
        <w:rPr>
          <w:rFonts w:ascii="Times New Roman" w:hAnsi="Times New Roman" w:cs="Times New Roman"/>
          <w:sz w:val="18"/>
          <w:szCs w:val="18"/>
          <w:lang w:val="en-GB" w:bidi="ar-SA"/>
        </w:rPr>
        <w:t>adios</w:t>
      </w:r>
      <w:r w:rsidR="00C640DB">
        <w:rPr>
          <w:rFonts w:ascii="Times New Roman" w:hAnsi="Times New Roman" w:cs="Times New Roman"/>
          <w:sz w:val="18"/>
          <w:szCs w:val="18"/>
          <w:lang w:val="en-GB" w:bidi="ar-SA"/>
        </w:rPr>
        <w:t>tereo</w:t>
      </w:r>
      <w:r w:rsidR="00E1377A">
        <w:rPr>
          <w:rFonts w:ascii="Times New Roman" w:hAnsi="Times New Roman" w:cs="Times New Roman"/>
          <w:sz w:val="18"/>
          <w:szCs w:val="18"/>
          <w:lang w:val="en-GB" w:bidi="ar-SA"/>
        </w:rPr>
        <w:t>metry</w:t>
      </w:r>
      <w:r w:rsidRPr="0080788E">
        <w:rPr>
          <w:rFonts w:ascii="Times New Roman" w:hAnsi="Times New Roman" w:cs="Times New Roman"/>
          <w:sz w:val="18"/>
          <w:szCs w:val="18"/>
          <w:lang w:val="en-GB" w:bidi="ar-SA"/>
        </w:rPr>
        <w:t xml:space="preserve"> (</w:t>
      </w:r>
      <w:r w:rsidR="00C640DB">
        <w:rPr>
          <w:rFonts w:ascii="Times New Roman" w:hAnsi="Times New Roman" w:cs="Times New Roman"/>
          <w:sz w:val="18"/>
          <w:szCs w:val="18"/>
          <w:lang w:val="en-GB" w:bidi="ar-SA"/>
        </w:rPr>
        <w:t>RSA</w:t>
      </w:r>
      <w:r w:rsidRPr="0080788E">
        <w:rPr>
          <w:rFonts w:ascii="Times New Roman" w:hAnsi="Times New Roman" w:cs="Times New Roman"/>
          <w:sz w:val="18"/>
          <w:szCs w:val="18"/>
          <w:lang w:val="en-GB" w:bidi="ar-SA"/>
        </w:rPr>
        <w:t>) whi</w:t>
      </w:r>
      <w:r w:rsidR="00C640DB">
        <w:rPr>
          <w:rFonts w:ascii="Times New Roman" w:hAnsi="Times New Roman" w:cs="Times New Roman"/>
          <w:sz w:val="18"/>
          <w:szCs w:val="18"/>
          <w:lang w:val="en-GB" w:bidi="ar-SA"/>
        </w:rPr>
        <w:t xml:space="preserve">ch can demonstrate significant </w:t>
      </w:r>
      <w:r w:rsidRPr="0080788E">
        <w:rPr>
          <w:rFonts w:ascii="Times New Roman" w:hAnsi="Times New Roman" w:cs="Times New Roman"/>
          <w:sz w:val="18"/>
          <w:szCs w:val="18"/>
          <w:lang w:val="en-GB" w:bidi="ar-SA"/>
        </w:rPr>
        <w:t>w</w:t>
      </w:r>
      <w:r w:rsidR="00C640DB">
        <w:rPr>
          <w:rFonts w:ascii="Times New Roman" w:hAnsi="Times New Roman" w:cs="Times New Roman"/>
          <w:sz w:val="18"/>
          <w:szCs w:val="18"/>
          <w:lang w:val="en-GB" w:bidi="ar-SA"/>
        </w:rPr>
        <w:t>e</w:t>
      </w:r>
      <w:r w:rsidRPr="0080788E">
        <w:rPr>
          <w:rFonts w:ascii="Times New Roman" w:hAnsi="Times New Roman" w:cs="Times New Roman"/>
          <w:sz w:val="18"/>
          <w:szCs w:val="18"/>
          <w:lang w:val="en-GB" w:bidi="ar-SA"/>
        </w:rPr>
        <w:t xml:space="preserve">ar in some </w:t>
      </w:r>
      <w:r w:rsidR="00C640DB">
        <w:rPr>
          <w:rFonts w:ascii="Times New Roman" w:hAnsi="Times New Roman" w:cs="Times New Roman"/>
          <w:sz w:val="18"/>
          <w:szCs w:val="18"/>
          <w:lang w:val="en-GB" w:bidi="ar-SA"/>
        </w:rPr>
        <w:t>implanted prostheses,</w:t>
      </w:r>
      <w:r w:rsidRPr="0080788E">
        <w:rPr>
          <w:rFonts w:ascii="Times New Roman" w:hAnsi="Times New Roman" w:cs="Times New Roman"/>
          <w:sz w:val="18"/>
          <w:szCs w:val="18"/>
          <w:lang w:val="en-GB" w:bidi="ar-SA"/>
        </w:rPr>
        <w:t xml:space="preserve"> using bearings such as ultrahigh molecular weight polyethylene.</w:t>
      </w:r>
    </w:p>
    <w:p w:rsidR="00806F74" w:rsidRDefault="00806F74" w:rsidP="006809D7">
      <w:pPr>
        <w:autoSpaceDE w:val="0"/>
        <w:autoSpaceDN w:val="0"/>
        <w:adjustRightInd w:val="0"/>
        <w:spacing w:after="0" w:line="240" w:lineRule="auto"/>
        <w:jc w:val="both"/>
        <w:rPr>
          <w:rFonts w:ascii="Times New Roman" w:hAnsi="Times New Roman" w:cs="Times New Roman"/>
          <w:i/>
          <w:sz w:val="18"/>
          <w:szCs w:val="18"/>
          <w:lang w:val="en-GB" w:bidi="ar-SA"/>
        </w:rPr>
      </w:pPr>
      <w:r w:rsidRPr="0080788E">
        <w:rPr>
          <w:rFonts w:ascii="Times New Roman" w:hAnsi="Times New Roman" w:cs="Times New Roman"/>
          <w:sz w:val="18"/>
          <w:szCs w:val="18"/>
          <w:lang w:val="en-GB" w:bidi="ar-SA"/>
        </w:rPr>
        <w:t xml:space="preserve">Since ion levels (Nanoparticles between </w:t>
      </w:r>
      <w:r w:rsidR="0080788E">
        <w:rPr>
          <w:rFonts w:ascii="Times New Roman" w:hAnsi="Times New Roman" w:cs="Times New Roman"/>
          <w:sz w:val="18"/>
          <w:szCs w:val="18"/>
          <w:lang w:val="en-GB" w:bidi="ar-SA"/>
        </w:rPr>
        <w:t>100-120</w:t>
      </w:r>
      <w:r w:rsidRPr="0080788E">
        <w:rPr>
          <w:rFonts w:ascii="Times New Roman" w:hAnsi="Times New Roman" w:cs="Times New Roman"/>
          <w:sz w:val="18"/>
          <w:szCs w:val="18"/>
          <w:lang w:val="en-GB" w:bidi="ar-SA"/>
        </w:rPr>
        <w:t xml:space="preserve"> </w:t>
      </w:r>
      <w:r w:rsidRPr="0080788E">
        <w:rPr>
          <w:rFonts w:ascii="Times New Roman" w:hAnsi="Times New Roman" w:cs="Times New Roman"/>
          <w:i/>
          <w:sz w:val="18"/>
          <w:szCs w:val="18"/>
          <w:lang w:val="en-GB" w:bidi="ar-SA"/>
        </w:rPr>
        <w:t>nm</w:t>
      </w:r>
      <w:r w:rsidRPr="0080788E">
        <w:rPr>
          <w:rFonts w:ascii="Times New Roman" w:hAnsi="Times New Roman" w:cs="Times New Roman"/>
          <w:sz w:val="18"/>
          <w:szCs w:val="18"/>
          <w:lang w:val="en-GB" w:bidi="ar-SA"/>
        </w:rPr>
        <w:t xml:space="preserve">) </w:t>
      </w:r>
      <w:r w:rsidR="0080788E">
        <w:rPr>
          <w:rFonts w:ascii="Times New Roman" w:hAnsi="Times New Roman" w:cs="Times New Roman"/>
          <w:sz w:val="18"/>
          <w:szCs w:val="18"/>
          <w:lang w:val="en-GB" w:bidi="ar-SA"/>
        </w:rPr>
        <w:t>does not clearly correlate</w:t>
      </w:r>
      <w:r w:rsidRPr="0080788E">
        <w:rPr>
          <w:rFonts w:ascii="Times New Roman" w:hAnsi="Times New Roman" w:cs="Times New Roman"/>
          <w:sz w:val="18"/>
          <w:szCs w:val="18"/>
          <w:lang w:val="en-GB" w:bidi="ar-SA"/>
        </w:rPr>
        <w:t xml:space="preserve"> with failure of implants</w:t>
      </w:r>
      <w:r w:rsidR="00C640DB">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either through mechanical failure or potential risk</w:t>
      </w:r>
      <w:r w:rsidR="00960847">
        <w:rPr>
          <w:rFonts w:ascii="Times New Roman" w:hAnsi="Times New Roman" w:cs="Times New Roman"/>
          <w:sz w:val="18"/>
          <w:szCs w:val="18"/>
          <w:lang w:val="en-GB" w:bidi="ar-SA"/>
        </w:rPr>
        <w:fldChar w:fldCharType="begin"/>
      </w:r>
      <w:r w:rsidR="00960847">
        <w:rPr>
          <w:rFonts w:ascii="Times New Roman" w:hAnsi="Times New Roman" w:cs="Times New Roman"/>
          <w:sz w:val="18"/>
          <w:szCs w:val="18"/>
          <w:lang w:val="en-GB" w:bidi="ar-SA"/>
        </w:rPr>
        <w:instrText xml:space="preserve"> ADDIN REFMGR.CITE &lt;Refman&gt;&lt;Cite&gt;&lt;Author&gt;Daniel J et al.&lt;/Author&gt;&lt;Year&gt;2007&lt;/Year&gt;&lt;RecNum&gt;4&lt;/RecNum&gt;&lt;IDText&gt;The validity of serum levels as a surrogate measure of systemic exposure to metal ions in hip replacement.&lt;/IDText&gt;&lt;MDL Ref_Type="Journal (Full)"&gt;&lt;Ref_Type&gt;Journal (Full)&lt;/Ref_Type&gt;&lt;Ref_ID&gt;4&lt;/Ref_ID&gt;&lt;Title_Primary&gt;The validity of serum levels as a surrogate measure of systemic exposure to metal ions in hip replacement.&lt;/Title_Primary&gt;&lt;Authors_Primary&gt;Daniel J et al.&lt;/Authors_Primary&gt;&lt;Date_Primary&gt;2007&lt;/Date_Primary&gt;&lt;Reprint&gt;Not in File&lt;/Reprint&gt;&lt;Start_Page&gt;736&lt;/Start_Page&gt;&lt;End_Page&gt;742&lt;/End_Page&gt;&lt;Periodical&gt;J Bone Joint Surg Br&lt;/Periodical&gt;&lt;Volume&gt;89-B&lt;/Volume&gt;&lt;Issue&gt;6&lt;/Issue&gt;&lt;ZZ_JournalFull&gt;&lt;f name="System"&gt;J Bone Joint Surg Br&lt;/f&gt;&lt;/ZZ_JournalFull&gt;&lt;ZZ_WorkformID&gt;32&lt;/ZZ_WorkformID&gt;&lt;/MDL&gt;&lt;/Cite&gt;&lt;/Refman&gt;</w:instrText>
      </w:r>
      <w:r w:rsidR="00960847">
        <w:rPr>
          <w:rFonts w:ascii="Times New Roman" w:hAnsi="Times New Roman" w:cs="Times New Roman"/>
          <w:sz w:val="18"/>
          <w:szCs w:val="18"/>
          <w:lang w:val="en-GB" w:bidi="ar-SA"/>
        </w:rPr>
        <w:fldChar w:fldCharType="separate"/>
      </w:r>
      <w:r w:rsidR="00960847">
        <w:rPr>
          <w:rFonts w:ascii="Times New Roman" w:hAnsi="Times New Roman" w:cs="Times New Roman"/>
          <w:noProof/>
          <w:sz w:val="18"/>
          <w:szCs w:val="18"/>
          <w:lang w:val="en-GB" w:bidi="ar-SA"/>
        </w:rPr>
        <w:t>(4)</w:t>
      </w:r>
      <w:r w:rsidR="00960847">
        <w:rPr>
          <w:rFonts w:ascii="Times New Roman" w:hAnsi="Times New Roman" w:cs="Times New Roman"/>
          <w:sz w:val="18"/>
          <w:szCs w:val="18"/>
          <w:lang w:val="en-GB" w:bidi="ar-SA"/>
        </w:rPr>
        <w:fldChar w:fldCharType="end"/>
      </w:r>
      <w:r w:rsidRPr="0080788E">
        <w:rPr>
          <w:rFonts w:ascii="Times New Roman" w:hAnsi="Times New Roman" w:cs="Times New Roman"/>
          <w:sz w:val="18"/>
          <w:szCs w:val="18"/>
          <w:lang w:val="en-GB" w:bidi="ar-SA"/>
        </w:rPr>
        <w:t xml:space="preserve">, and being based on </w:t>
      </w:r>
      <w:r w:rsidR="00E1377A">
        <w:rPr>
          <w:rFonts w:ascii="Times New Roman" w:hAnsi="Times New Roman" w:cs="Times New Roman"/>
          <w:sz w:val="18"/>
          <w:szCs w:val="18"/>
          <w:lang w:val="en-GB" w:bidi="ar-SA"/>
        </w:rPr>
        <w:t>data from ‘r</w:t>
      </w:r>
      <w:r w:rsidRPr="0080788E">
        <w:rPr>
          <w:rFonts w:ascii="Times New Roman" w:hAnsi="Times New Roman" w:cs="Times New Roman"/>
          <w:sz w:val="18"/>
          <w:szCs w:val="18"/>
          <w:lang w:val="en-GB" w:bidi="ar-SA"/>
        </w:rPr>
        <w:t>etriev</w:t>
      </w:r>
      <w:r w:rsidR="00E1377A">
        <w:rPr>
          <w:rFonts w:ascii="Times New Roman" w:hAnsi="Times New Roman" w:cs="Times New Roman"/>
          <w:sz w:val="18"/>
          <w:szCs w:val="18"/>
          <w:lang w:val="en-GB" w:bidi="ar-SA"/>
        </w:rPr>
        <w:t>ed’</w:t>
      </w:r>
      <w:r w:rsidRPr="0080788E">
        <w:rPr>
          <w:rFonts w:ascii="Times New Roman" w:hAnsi="Times New Roman" w:cs="Times New Roman"/>
          <w:sz w:val="18"/>
          <w:szCs w:val="18"/>
          <w:lang w:val="en-GB" w:bidi="ar-SA"/>
        </w:rPr>
        <w:t xml:space="preserve"> </w:t>
      </w:r>
      <w:r w:rsidR="00E1377A">
        <w:rPr>
          <w:rFonts w:ascii="Times New Roman" w:hAnsi="Times New Roman" w:cs="Times New Roman"/>
          <w:sz w:val="18"/>
          <w:szCs w:val="18"/>
          <w:lang w:val="en-GB" w:bidi="ar-SA"/>
        </w:rPr>
        <w:t>specimens</w:t>
      </w:r>
      <w:r w:rsidRPr="0080788E">
        <w:rPr>
          <w:rFonts w:ascii="Times New Roman" w:hAnsi="Times New Roman" w:cs="Times New Roman"/>
          <w:sz w:val="18"/>
          <w:szCs w:val="18"/>
          <w:lang w:val="en-GB" w:bidi="ar-SA"/>
        </w:rPr>
        <w:t xml:space="preserve">, this represents the </w:t>
      </w:r>
      <w:r w:rsidR="00DC0C0A">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known </w:t>
      </w:r>
      <w:r w:rsidR="004530C1" w:rsidRPr="0080788E">
        <w:rPr>
          <w:rFonts w:ascii="Times New Roman" w:hAnsi="Times New Roman" w:cs="Times New Roman"/>
          <w:sz w:val="18"/>
          <w:szCs w:val="18"/>
          <w:lang w:val="en-GB" w:bidi="ar-SA"/>
        </w:rPr>
        <w:t>unknowns</w:t>
      </w:r>
      <w:r w:rsidR="00DC0C0A">
        <w:rPr>
          <w:rFonts w:ascii="Times New Roman" w:hAnsi="Times New Roman" w:cs="Times New Roman"/>
          <w:sz w:val="18"/>
          <w:szCs w:val="18"/>
          <w:lang w:val="en-GB" w:bidi="ar-SA"/>
        </w:rPr>
        <w:t>’</w:t>
      </w:r>
      <w:r w:rsidR="004530C1" w:rsidRPr="0080788E">
        <w:rPr>
          <w:rFonts w:ascii="Times New Roman" w:hAnsi="Times New Roman" w:cs="Times New Roman"/>
          <w:sz w:val="18"/>
          <w:szCs w:val="18"/>
          <w:lang w:val="en-GB" w:bidi="ar-SA"/>
        </w:rPr>
        <w:t xml:space="preserve"> that actually do</w:t>
      </w:r>
      <w:r w:rsidRPr="0080788E">
        <w:rPr>
          <w:rFonts w:ascii="Times New Roman" w:hAnsi="Times New Roman" w:cs="Times New Roman"/>
          <w:sz w:val="18"/>
          <w:szCs w:val="18"/>
          <w:lang w:val="en-GB" w:bidi="ar-SA"/>
        </w:rPr>
        <w:t xml:space="preserve"> not y</w:t>
      </w:r>
      <w:r w:rsidR="00DC0C0A">
        <w:rPr>
          <w:rFonts w:ascii="Times New Roman" w:hAnsi="Times New Roman" w:cs="Times New Roman"/>
          <w:sz w:val="18"/>
          <w:szCs w:val="18"/>
          <w:lang w:val="en-GB" w:bidi="ar-SA"/>
        </w:rPr>
        <w:t>et answer the critical question; ‘</w:t>
      </w:r>
      <w:r w:rsidR="00DC0C0A" w:rsidRPr="00DC0C0A">
        <w:rPr>
          <w:rFonts w:ascii="Times New Roman" w:hAnsi="Times New Roman" w:cs="Times New Roman"/>
          <w:i/>
          <w:sz w:val="18"/>
          <w:szCs w:val="18"/>
          <w:lang w:val="en-GB" w:bidi="ar-SA"/>
        </w:rPr>
        <w:t>Is this a reliable indication of risk?’</w:t>
      </w:r>
      <w:r w:rsidRPr="00DC0C0A">
        <w:rPr>
          <w:rFonts w:ascii="Times New Roman" w:hAnsi="Times New Roman" w:cs="Times New Roman"/>
          <w:i/>
          <w:sz w:val="18"/>
          <w:szCs w:val="18"/>
          <w:lang w:val="en-GB" w:bidi="ar-SA"/>
        </w:rPr>
        <w:t xml:space="preserve">  </w:t>
      </w:r>
      <w:r w:rsidR="004530C1" w:rsidRPr="0080788E">
        <w:rPr>
          <w:rFonts w:ascii="Times New Roman" w:hAnsi="Times New Roman" w:cs="Times New Roman"/>
          <w:sz w:val="18"/>
          <w:szCs w:val="18"/>
          <w:lang w:val="en-GB" w:bidi="ar-SA"/>
        </w:rPr>
        <w:t>It</w:t>
      </w:r>
      <w:r w:rsidRPr="0080788E">
        <w:rPr>
          <w:rFonts w:ascii="Times New Roman" w:hAnsi="Times New Roman" w:cs="Times New Roman"/>
          <w:sz w:val="18"/>
          <w:szCs w:val="18"/>
          <w:lang w:val="en-GB" w:bidi="ar-SA"/>
        </w:rPr>
        <w:t xml:space="preserve"> illuminates t</w:t>
      </w:r>
      <w:r w:rsidR="00C640DB">
        <w:rPr>
          <w:rFonts w:ascii="Times New Roman" w:hAnsi="Times New Roman" w:cs="Times New Roman"/>
          <w:sz w:val="18"/>
          <w:szCs w:val="18"/>
          <w:lang w:val="en-GB" w:bidi="ar-SA"/>
        </w:rPr>
        <w:t>he fact t</w:t>
      </w:r>
      <w:r w:rsidRPr="0080788E">
        <w:rPr>
          <w:rFonts w:ascii="Times New Roman" w:hAnsi="Times New Roman" w:cs="Times New Roman"/>
          <w:sz w:val="18"/>
          <w:szCs w:val="18"/>
          <w:lang w:val="en-GB" w:bidi="ar-SA"/>
        </w:rPr>
        <w:t xml:space="preserve">hat there is </w:t>
      </w:r>
      <w:r w:rsidR="00DC0C0A">
        <w:rPr>
          <w:rFonts w:ascii="Times New Roman" w:hAnsi="Times New Roman" w:cs="Times New Roman"/>
          <w:sz w:val="18"/>
          <w:szCs w:val="18"/>
          <w:lang w:val="en-GB" w:bidi="ar-SA"/>
        </w:rPr>
        <w:t xml:space="preserve">presently </w:t>
      </w:r>
      <w:r w:rsidRPr="0080788E">
        <w:rPr>
          <w:rFonts w:ascii="Times New Roman" w:hAnsi="Times New Roman" w:cs="Times New Roman"/>
          <w:sz w:val="18"/>
          <w:szCs w:val="18"/>
          <w:lang w:val="en-GB" w:bidi="ar-SA"/>
        </w:rPr>
        <w:t xml:space="preserve">no more thorough way of predicting </w:t>
      </w:r>
      <w:r w:rsidR="0080788E">
        <w:rPr>
          <w:rFonts w:ascii="Times New Roman" w:hAnsi="Times New Roman" w:cs="Times New Roman"/>
          <w:sz w:val="18"/>
          <w:szCs w:val="18"/>
          <w:lang w:val="en-GB" w:bidi="ar-SA"/>
        </w:rPr>
        <w:t>implant success</w:t>
      </w:r>
      <w:r w:rsidRPr="0080788E">
        <w:rPr>
          <w:rFonts w:ascii="Times New Roman" w:hAnsi="Times New Roman" w:cs="Times New Roman"/>
          <w:sz w:val="18"/>
          <w:szCs w:val="18"/>
          <w:lang w:val="en-GB" w:bidi="ar-SA"/>
        </w:rPr>
        <w:t xml:space="preserve"> </w:t>
      </w:r>
      <w:r w:rsidR="00DC0C0A" w:rsidRPr="0080788E">
        <w:rPr>
          <w:rFonts w:ascii="Times New Roman" w:hAnsi="Times New Roman" w:cs="Times New Roman"/>
          <w:i/>
          <w:sz w:val="18"/>
          <w:szCs w:val="18"/>
          <w:lang w:val="en-GB" w:bidi="ar-SA"/>
        </w:rPr>
        <w:t>ex-vivo</w:t>
      </w:r>
      <w:r w:rsidR="00DC0C0A">
        <w:rPr>
          <w:rFonts w:ascii="Times New Roman" w:hAnsi="Times New Roman" w:cs="Times New Roman"/>
          <w:i/>
          <w:sz w:val="18"/>
          <w:szCs w:val="18"/>
          <w:lang w:val="en-GB" w:bidi="ar-SA"/>
        </w:rPr>
        <w:t>.</w:t>
      </w:r>
    </w:p>
    <w:p w:rsidR="00523897" w:rsidRPr="0080788E" w:rsidRDefault="00523897" w:rsidP="006809D7">
      <w:pPr>
        <w:autoSpaceDE w:val="0"/>
        <w:autoSpaceDN w:val="0"/>
        <w:adjustRightInd w:val="0"/>
        <w:spacing w:after="0" w:line="240" w:lineRule="auto"/>
        <w:jc w:val="both"/>
        <w:rPr>
          <w:rFonts w:ascii="Times New Roman" w:hAnsi="Times New Roman" w:cs="Times New Roman"/>
          <w:sz w:val="18"/>
          <w:szCs w:val="18"/>
          <w:lang w:val="en-GB" w:bidi="ar-SA"/>
        </w:rPr>
      </w:pPr>
    </w:p>
    <w:p w:rsidR="0080788E" w:rsidRPr="0080788E" w:rsidRDefault="00186A64" w:rsidP="006809D7">
      <w:pPr>
        <w:autoSpaceDE w:val="0"/>
        <w:autoSpaceDN w:val="0"/>
        <w:adjustRightInd w:val="0"/>
        <w:spacing w:after="0" w:line="240" w:lineRule="auto"/>
        <w:jc w:val="both"/>
        <w:rPr>
          <w:rFonts w:ascii="Times New Roman" w:hAnsi="Times New Roman" w:cs="Times New Roman"/>
          <w:sz w:val="18"/>
          <w:szCs w:val="18"/>
          <w:lang w:val="en-GB" w:bidi="ar-SA"/>
        </w:rPr>
      </w:pPr>
      <w:r w:rsidRPr="00186A64">
        <w:rPr>
          <w:rFonts w:ascii="Times New Roman" w:hAnsi="Times New Roman" w:cs="Times New Roman"/>
          <w:b/>
          <w:sz w:val="18"/>
          <w:szCs w:val="24"/>
        </w:rPr>
        <w:t>Discussion</w:t>
      </w:r>
      <w:r w:rsidR="00B652DC">
        <w:rPr>
          <w:rFonts w:ascii="Times New Roman" w:hAnsi="Times New Roman" w:cs="Times New Roman"/>
          <w:b/>
          <w:sz w:val="18"/>
          <w:szCs w:val="24"/>
        </w:rPr>
        <w:t xml:space="preserve">: </w:t>
      </w:r>
      <w:r w:rsidR="0080788E" w:rsidRPr="0080788E">
        <w:rPr>
          <w:rFonts w:ascii="Times New Roman" w:hAnsi="Times New Roman" w:cs="Times New Roman"/>
          <w:sz w:val="18"/>
          <w:szCs w:val="18"/>
          <w:lang w:val="en-GB" w:bidi="ar-SA"/>
        </w:rPr>
        <w:t xml:space="preserve">With </w:t>
      </w:r>
      <w:r w:rsidR="0080788E">
        <w:rPr>
          <w:rFonts w:ascii="Times New Roman" w:hAnsi="Times New Roman" w:cs="Times New Roman"/>
          <w:sz w:val="18"/>
          <w:szCs w:val="18"/>
          <w:lang w:val="en-GB" w:bidi="ar-SA"/>
        </w:rPr>
        <w:t>a</w:t>
      </w:r>
      <w:r w:rsidR="0080788E" w:rsidRPr="0080788E">
        <w:rPr>
          <w:rFonts w:ascii="Times New Roman" w:hAnsi="Times New Roman" w:cs="Times New Roman"/>
          <w:sz w:val="18"/>
          <w:szCs w:val="18"/>
          <w:lang w:val="en-GB" w:bidi="ar-SA"/>
        </w:rPr>
        <w:t>ltering public percepti</w:t>
      </w:r>
      <w:r w:rsidR="00E1377A">
        <w:rPr>
          <w:rFonts w:ascii="Times New Roman" w:hAnsi="Times New Roman" w:cs="Times New Roman"/>
          <w:sz w:val="18"/>
          <w:szCs w:val="18"/>
          <w:lang w:val="en-GB" w:bidi="ar-SA"/>
        </w:rPr>
        <w:t>ons, reported problems on metal-on-</w:t>
      </w:r>
      <w:r w:rsidR="0080788E" w:rsidRPr="0080788E">
        <w:rPr>
          <w:rFonts w:ascii="Times New Roman" w:hAnsi="Times New Roman" w:cs="Times New Roman"/>
          <w:sz w:val="18"/>
          <w:szCs w:val="18"/>
          <w:lang w:val="en-GB" w:bidi="ar-SA"/>
        </w:rPr>
        <w:t xml:space="preserve">metal </w:t>
      </w:r>
      <w:r w:rsidR="00DC0C0A" w:rsidRPr="00DC0C0A">
        <w:rPr>
          <w:rFonts w:ascii="Times New Roman" w:hAnsi="Times New Roman" w:cs="Times New Roman"/>
          <w:sz w:val="18"/>
          <w:szCs w:val="18"/>
          <w:lang w:val="en-GB" w:bidi="ar-SA"/>
        </w:rPr>
        <w:t xml:space="preserve">(MoM) </w:t>
      </w:r>
      <w:r w:rsidR="0080788E" w:rsidRPr="0080788E">
        <w:rPr>
          <w:rFonts w:ascii="Times New Roman" w:hAnsi="Times New Roman" w:cs="Times New Roman"/>
          <w:sz w:val="18"/>
          <w:szCs w:val="18"/>
          <w:lang w:val="en-GB" w:bidi="ar-SA"/>
        </w:rPr>
        <w:t>bearings potentially will challenge the development of new devices through failure to disaggregate the information regarding failing implants from others that use similar materials. Whilst history advises caution with respect to new pros</w:t>
      </w:r>
      <w:r w:rsidR="00C640DB">
        <w:rPr>
          <w:rFonts w:ascii="Times New Roman" w:hAnsi="Times New Roman" w:cs="Times New Roman"/>
          <w:sz w:val="18"/>
          <w:szCs w:val="18"/>
          <w:lang w:val="en-GB" w:bidi="ar-SA"/>
        </w:rPr>
        <w:t xml:space="preserve">theses, and some MoM </w:t>
      </w:r>
      <w:r w:rsidR="0080788E" w:rsidRPr="0080788E">
        <w:rPr>
          <w:rFonts w:ascii="Times New Roman" w:hAnsi="Times New Roman" w:cs="Times New Roman"/>
          <w:sz w:val="18"/>
          <w:szCs w:val="18"/>
          <w:lang w:val="en-GB" w:bidi="ar-SA"/>
        </w:rPr>
        <w:t xml:space="preserve">devices have raised concerns, </w:t>
      </w:r>
      <w:r w:rsidR="00E1377A">
        <w:rPr>
          <w:rFonts w:ascii="Times New Roman" w:hAnsi="Times New Roman" w:cs="Times New Roman"/>
          <w:sz w:val="18"/>
          <w:szCs w:val="18"/>
          <w:lang w:val="en-GB" w:bidi="ar-SA"/>
        </w:rPr>
        <w:t xml:space="preserve">though apparently it is only certain types of bearing that precipitate the problmes. </w:t>
      </w:r>
      <w:r w:rsidR="00E1377A" w:rsidRPr="0080788E">
        <w:rPr>
          <w:rFonts w:ascii="Times New Roman" w:hAnsi="Times New Roman" w:cs="Times New Roman"/>
          <w:sz w:val="18"/>
          <w:szCs w:val="18"/>
          <w:lang w:val="en-GB" w:bidi="ar-SA"/>
        </w:rPr>
        <w:t>It</w:t>
      </w:r>
      <w:r w:rsidR="0080788E" w:rsidRPr="0080788E">
        <w:rPr>
          <w:rFonts w:ascii="Times New Roman" w:hAnsi="Times New Roman" w:cs="Times New Roman"/>
          <w:sz w:val="18"/>
          <w:szCs w:val="18"/>
          <w:lang w:val="en-GB" w:bidi="ar-SA"/>
        </w:rPr>
        <w:t xml:space="preserve"> is population groups</w:t>
      </w:r>
      <w:r w:rsidR="00C640DB">
        <w:rPr>
          <w:rFonts w:ascii="Times New Roman" w:hAnsi="Times New Roman" w:cs="Times New Roman"/>
          <w:sz w:val="18"/>
          <w:szCs w:val="18"/>
          <w:lang w:val="en-GB" w:bidi="ar-SA"/>
        </w:rPr>
        <w:t>,</w:t>
      </w:r>
      <w:r w:rsidR="0080788E" w:rsidRPr="0080788E">
        <w:rPr>
          <w:rFonts w:ascii="Times New Roman" w:hAnsi="Times New Roman" w:cs="Times New Roman"/>
          <w:sz w:val="18"/>
          <w:szCs w:val="18"/>
          <w:lang w:val="en-GB" w:bidi="ar-SA"/>
        </w:rPr>
        <w:t xml:space="preserve"> providing epidemiological data through registries in this countries such as Australia and the UK that offer usabl</w:t>
      </w:r>
      <w:r w:rsidR="00C640DB">
        <w:rPr>
          <w:rFonts w:ascii="Times New Roman" w:hAnsi="Times New Roman" w:cs="Times New Roman"/>
          <w:sz w:val="18"/>
          <w:szCs w:val="18"/>
          <w:lang w:val="en-GB" w:bidi="ar-SA"/>
        </w:rPr>
        <w:t>e results for specific devices</w:t>
      </w:r>
      <w:r w:rsidR="00DC0C0A">
        <w:rPr>
          <w:rFonts w:ascii="Times New Roman" w:hAnsi="Times New Roman" w:cs="Times New Roman"/>
          <w:sz w:val="18"/>
          <w:szCs w:val="18"/>
          <w:lang w:val="en-GB" w:bidi="ar-SA"/>
        </w:rPr>
        <w:t>. A</w:t>
      </w:r>
      <w:r w:rsidR="0080788E" w:rsidRPr="0080788E">
        <w:rPr>
          <w:rFonts w:ascii="Times New Roman" w:hAnsi="Times New Roman" w:cs="Times New Roman"/>
          <w:sz w:val="18"/>
          <w:szCs w:val="18"/>
          <w:lang w:val="en-GB" w:bidi="ar-SA"/>
        </w:rPr>
        <w:t xml:space="preserve">ttempting to extrapolate from one to another is </w:t>
      </w:r>
      <w:r w:rsidR="00DC0C0A">
        <w:rPr>
          <w:rFonts w:ascii="Times New Roman" w:hAnsi="Times New Roman" w:cs="Times New Roman"/>
          <w:sz w:val="18"/>
          <w:szCs w:val="18"/>
          <w:lang w:val="en-GB" w:bidi="ar-SA"/>
        </w:rPr>
        <w:t xml:space="preserve">however </w:t>
      </w:r>
      <w:r w:rsidR="0080788E" w:rsidRPr="0080788E">
        <w:rPr>
          <w:rFonts w:ascii="Times New Roman" w:hAnsi="Times New Roman" w:cs="Times New Roman"/>
          <w:sz w:val="18"/>
          <w:szCs w:val="18"/>
          <w:lang w:val="en-GB" w:bidi="ar-SA"/>
        </w:rPr>
        <w:t xml:space="preserve">potentially flawed. Ideally if </w:t>
      </w:r>
      <w:r w:rsidR="004530C1" w:rsidRPr="0080788E">
        <w:rPr>
          <w:rFonts w:ascii="Times New Roman" w:hAnsi="Times New Roman" w:cs="Times New Roman"/>
          <w:sz w:val="18"/>
          <w:szCs w:val="18"/>
          <w:lang w:val="en-GB" w:bidi="ar-SA"/>
        </w:rPr>
        <w:t>rigorous</w:t>
      </w:r>
      <w:r w:rsidR="0080788E" w:rsidRPr="0080788E">
        <w:rPr>
          <w:rFonts w:ascii="Times New Roman" w:hAnsi="Times New Roman" w:cs="Times New Roman"/>
          <w:sz w:val="18"/>
          <w:szCs w:val="18"/>
          <w:lang w:val="en-GB" w:bidi="ar-SA"/>
        </w:rPr>
        <w:t xml:space="preserve"> </w:t>
      </w:r>
      <w:r w:rsidR="00DC0C0A">
        <w:rPr>
          <w:rFonts w:ascii="Times New Roman" w:hAnsi="Times New Roman" w:cs="Times New Roman"/>
          <w:i/>
          <w:sz w:val="18"/>
          <w:szCs w:val="18"/>
          <w:lang w:val="en-GB" w:bidi="ar-SA"/>
        </w:rPr>
        <w:t>in-</w:t>
      </w:r>
      <w:r w:rsidR="0080788E" w:rsidRPr="00E1377A">
        <w:rPr>
          <w:rFonts w:ascii="Times New Roman" w:hAnsi="Times New Roman" w:cs="Times New Roman"/>
          <w:i/>
          <w:sz w:val="18"/>
          <w:szCs w:val="18"/>
          <w:lang w:val="en-GB" w:bidi="ar-SA"/>
        </w:rPr>
        <w:t>vitro</w:t>
      </w:r>
      <w:r w:rsidR="0080788E" w:rsidRPr="0080788E">
        <w:rPr>
          <w:rFonts w:ascii="Times New Roman" w:hAnsi="Times New Roman" w:cs="Times New Roman"/>
          <w:sz w:val="18"/>
          <w:szCs w:val="18"/>
          <w:lang w:val="en-GB" w:bidi="ar-SA"/>
        </w:rPr>
        <w:t xml:space="preserve"> analysis could offer new and reliable tests</w:t>
      </w:r>
      <w:r w:rsidR="00C640DB">
        <w:rPr>
          <w:rFonts w:ascii="Times New Roman" w:hAnsi="Times New Roman" w:cs="Times New Roman"/>
          <w:sz w:val="18"/>
          <w:szCs w:val="18"/>
          <w:lang w:val="en-GB" w:bidi="ar-SA"/>
        </w:rPr>
        <w:t>,</w:t>
      </w:r>
      <w:r w:rsidR="0080788E" w:rsidRPr="0080788E">
        <w:rPr>
          <w:rFonts w:ascii="Times New Roman" w:hAnsi="Times New Roman" w:cs="Times New Roman"/>
          <w:sz w:val="18"/>
          <w:szCs w:val="18"/>
          <w:lang w:val="en-GB" w:bidi="ar-SA"/>
        </w:rPr>
        <w:t xml:space="preserve"> these would be of value though they are unlikely to predict the local biological environment including the </w:t>
      </w:r>
      <w:r w:rsidR="00C640DB">
        <w:rPr>
          <w:rFonts w:ascii="Times New Roman" w:hAnsi="Times New Roman" w:cs="Times New Roman"/>
          <w:sz w:val="18"/>
          <w:szCs w:val="18"/>
          <w:lang w:val="en-GB" w:bidi="ar-SA"/>
        </w:rPr>
        <w:t xml:space="preserve">sinovial (natural joint lining) </w:t>
      </w:r>
      <w:r w:rsidR="0080788E" w:rsidRPr="0080788E">
        <w:rPr>
          <w:rFonts w:ascii="Times New Roman" w:hAnsi="Times New Roman" w:cs="Times New Roman"/>
          <w:sz w:val="18"/>
          <w:szCs w:val="18"/>
          <w:lang w:val="en-GB" w:bidi="ar-SA"/>
        </w:rPr>
        <w:t xml:space="preserve"> cells and their interaction with the prostheses. </w:t>
      </w:r>
    </w:p>
    <w:p w:rsidR="0080788E" w:rsidRPr="0080788E" w:rsidRDefault="0080788E" w:rsidP="006809D7">
      <w:pPr>
        <w:autoSpaceDE w:val="0"/>
        <w:autoSpaceDN w:val="0"/>
        <w:adjustRightInd w:val="0"/>
        <w:spacing w:after="0" w:line="240" w:lineRule="auto"/>
        <w:jc w:val="both"/>
        <w:rPr>
          <w:rFonts w:ascii="Times New Roman" w:hAnsi="Times New Roman" w:cs="Times New Roman"/>
          <w:sz w:val="18"/>
          <w:szCs w:val="18"/>
          <w:lang w:val="en-GB" w:bidi="ar-SA"/>
        </w:rPr>
      </w:pPr>
      <w:r w:rsidRPr="0080788E">
        <w:rPr>
          <w:rFonts w:ascii="Times New Roman" w:hAnsi="Times New Roman" w:cs="Times New Roman"/>
          <w:sz w:val="18"/>
          <w:szCs w:val="18"/>
          <w:lang w:val="en-GB" w:bidi="ar-SA"/>
        </w:rPr>
        <w:t xml:space="preserve">Since we are aware of certain metal debris from the modular hips, </w:t>
      </w:r>
      <w:r w:rsidR="00C640DB">
        <w:rPr>
          <w:rFonts w:ascii="Times New Roman" w:hAnsi="Times New Roman" w:cs="Times New Roman"/>
          <w:sz w:val="18"/>
          <w:szCs w:val="18"/>
          <w:lang w:val="en-GB" w:bidi="ar-SA"/>
        </w:rPr>
        <w:t xml:space="preserve">it </w:t>
      </w:r>
      <w:r w:rsidRPr="0080788E">
        <w:rPr>
          <w:rFonts w:ascii="Times New Roman" w:hAnsi="Times New Roman" w:cs="Times New Roman"/>
          <w:sz w:val="18"/>
          <w:szCs w:val="18"/>
          <w:lang w:val="en-GB" w:bidi="ar-SA"/>
        </w:rPr>
        <w:t>is unrealistic to assume that this relates specifically to other reported devices that have been seen to have higher failure rates</w:t>
      </w:r>
      <w:r w:rsidR="00C640DB">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such as the </w:t>
      </w:r>
      <w:r w:rsidR="00C640DB">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Dur</w:t>
      </w:r>
      <w:r w:rsidR="00C640DB">
        <w:rPr>
          <w:rFonts w:ascii="Times New Roman" w:hAnsi="Times New Roman" w:cs="Times New Roman"/>
          <w:sz w:val="18"/>
          <w:szCs w:val="18"/>
          <w:lang w:val="en-GB" w:bidi="ar-SA"/>
        </w:rPr>
        <w:t>o</w:t>
      </w:r>
      <w:r w:rsidRPr="0080788E">
        <w:rPr>
          <w:rFonts w:ascii="Times New Roman" w:hAnsi="Times New Roman" w:cs="Times New Roman"/>
          <w:sz w:val="18"/>
          <w:szCs w:val="18"/>
          <w:lang w:val="en-GB" w:bidi="ar-SA"/>
        </w:rPr>
        <w:t>n</w:t>
      </w:r>
      <w:r w:rsidR="00C640DB">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cup and </w:t>
      </w:r>
      <w:r>
        <w:rPr>
          <w:rFonts w:ascii="Times New Roman" w:hAnsi="Times New Roman" w:cs="Times New Roman"/>
          <w:sz w:val="18"/>
          <w:szCs w:val="18"/>
          <w:lang w:val="en-GB" w:bidi="ar-SA"/>
        </w:rPr>
        <w:t>A</w:t>
      </w:r>
      <w:r w:rsidRPr="0080788E">
        <w:rPr>
          <w:rFonts w:ascii="Times New Roman" w:hAnsi="Times New Roman" w:cs="Times New Roman"/>
          <w:sz w:val="18"/>
          <w:szCs w:val="18"/>
          <w:lang w:val="en-GB" w:bidi="ar-SA"/>
        </w:rPr>
        <w:t>SR hips which have already been withdrawn from the market in 2010.</w:t>
      </w:r>
    </w:p>
    <w:p w:rsidR="0080788E" w:rsidRPr="0080788E" w:rsidRDefault="00C640DB" w:rsidP="006809D7">
      <w:pPr>
        <w:autoSpaceDE w:val="0"/>
        <w:autoSpaceDN w:val="0"/>
        <w:adjustRightInd w:val="0"/>
        <w:spacing w:after="0" w:line="240" w:lineRule="auto"/>
        <w:jc w:val="both"/>
        <w:rPr>
          <w:rFonts w:ascii="Times New Roman" w:hAnsi="Times New Roman" w:cs="Times New Roman"/>
          <w:sz w:val="18"/>
          <w:szCs w:val="18"/>
          <w:lang w:val="en-GB" w:bidi="ar-SA"/>
        </w:rPr>
      </w:pPr>
      <w:r>
        <w:rPr>
          <w:rFonts w:ascii="Times New Roman" w:hAnsi="Times New Roman" w:cs="Times New Roman"/>
          <w:sz w:val="18"/>
          <w:szCs w:val="18"/>
          <w:lang w:val="en-GB" w:bidi="ar-SA"/>
        </w:rPr>
        <w:t>T</w:t>
      </w:r>
      <w:r w:rsidR="0080788E" w:rsidRPr="0080788E">
        <w:rPr>
          <w:rFonts w:ascii="Times New Roman" w:hAnsi="Times New Roman" w:cs="Times New Roman"/>
          <w:sz w:val="18"/>
          <w:szCs w:val="18"/>
          <w:lang w:val="en-GB" w:bidi="ar-SA"/>
        </w:rPr>
        <w:t>he question then arises; what new par</w:t>
      </w:r>
      <w:r>
        <w:rPr>
          <w:rFonts w:ascii="Times New Roman" w:hAnsi="Times New Roman" w:cs="Times New Roman"/>
          <w:sz w:val="18"/>
          <w:szCs w:val="18"/>
          <w:lang w:val="en-GB" w:bidi="ar-SA"/>
        </w:rPr>
        <w:t>adigms</w:t>
      </w:r>
      <w:r w:rsidR="00DC0C0A">
        <w:rPr>
          <w:rFonts w:ascii="Times New Roman" w:hAnsi="Times New Roman" w:cs="Times New Roman"/>
          <w:sz w:val="18"/>
          <w:szCs w:val="18"/>
          <w:lang w:val="en-GB" w:bidi="ar-SA"/>
        </w:rPr>
        <w:t>,</w:t>
      </w:r>
      <w:r>
        <w:rPr>
          <w:rFonts w:ascii="Times New Roman" w:hAnsi="Times New Roman" w:cs="Times New Roman"/>
          <w:sz w:val="18"/>
          <w:szCs w:val="18"/>
          <w:lang w:val="en-GB" w:bidi="ar-SA"/>
        </w:rPr>
        <w:t xml:space="preserve"> with associated control</w:t>
      </w:r>
      <w:r w:rsidR="0080788E" w:rsidRPr="0080788E">
        <w:rPr>
          <w:rFonts w:ascii="Times New Roman" w:hAnsi="Times New Roman" w:cs="Times New Roman"/>
          <w:sz w:val="18"/>
          <w:szCs w:val="18"/>
          <w:lang w:val="en-GB" w:bidi="ar-SA"/>
        </w:rPr>
        <w:t>s</w:t>
      </w:r>
      <w:r w:rsidR="00DC0C0A">
        <w:rPr>
          <w:rFonts w:ascii="Times New Roman" w:hAnsi="Times New Roman" w:cs="Times New Roman"/>
          <w:sz w:val="18"/>
          <w:szCs w:val="18"/>
          <w:lang w:val="en-GB" w:bidi="ar-SA"/>
        </w:rPr>
        <w:t>,</w:t>
      </w:r>
      <w:r w:rsidR="0080788E" w:rsidRPr="0080788E">
        <w:rPr>
          <w:rFonts w:ascii="Times New Roman" w:hAnsi="Times New Roman" w:cs="Times New Roman"/>
          <w:sz w:val="18"/>
          <w:szCs w:val="18"/>
          <w:lang w:val="en-GB" w:bidi="ar-SA"/>
        </w:rPr>
        <w:t xml:space="preserve"> can be employed to improve our perception of potential new materials for biomedical applications, assisting society in stopping </w:t>
      </w:r>
      <w:r>
        <w:rPr>
          <w:rFonts w:ascii="Times New Roman" w:hAnsi="Times New Roman" w:cs="Times New Roman"/>
          <w:sz w:val="18"/>
          <w:szCs w:val="18"/>
          <w:lang w:val="en-GB" w:bidi="ar-SA"/>
        </w:rPr>
        <w:t>vulnerable</w:t>
      </w:r>
      <w:r w:rsidR="0080788E" w:rsidRPr="0080788E">
        <w:rPr>
          <w:rFonts w:ascii="Times New Roman" w:hAnsi="Times New Roman" w:cs="Times New Roman"/>
          <w:sz w:val="18"/>
          <w:szCs w:val="18"/>
          <w:lang w:val="en-GB" w:bidi="ar-SA"/>
        </w:rPr>
        <w:t xml:space="preserve"> designs from being implanted early in the process, without having to go through extensive expensive and risky clinical trials</w:t>
      </w:r>
      <w:r w:rsidR="00DC0C0A">
        <w:rPr>
          <w:rFonts w:ascii="Times New Roman" w:hAnsi="Times New Roman" w:cs="Times New Roman"/>
          <w:sz w:val="18"/>
          <w:szCs w:val="18"/>
          <w:lang w:val="en-GB" w:bidi="ar-SA"/>
        </w:rPr>
        <w:t>. R</w:t>
      </w:r>
      <w:r w:rsidR="0080788E" w:rsidRPr="0080788E">
        <w:rPr>
          <w:rFonts w:ascii="Times New Roman" w:hAnsi="Times New Roman" w:cs="Times New Roman"/>
          <w:sz w:val="18"/>
          <w:szCs w:val="18"/>
          <w:lang w:val="en-GB" w:bidi="ar-SA"/>
        </w:rPr>
        <w:t xml:space="preserve">egistries </w:t>
      </w:r>
      <w:r w:rsidR="00DC0C0A">
        <w:rPr>
          <w:rFonts w:ascii="Times New Roman" w:hAnsi="Times New Roman" w:cs="Times New Roman"/>
          <w:sz w:val="18"/>
          <w:szCs w:val="18"/>
          <w:lang w:val="en-GB" w:bidi="ar-SA"/>
        </w:rPr>
        <w:t>will therefore be of value in avoiding the designing of f</w:t>
      </w:r>
      <w:r w:rsidR="0080788E" w:rsidRPr="0080788E">
        <w:rPr>
          <w:rFonts w:ascii="Times New Roman" w:hAnsi="Times New Roman" w:cs="Times New Roman"/>
          <w:sz w:val="18"/>
          <w:szCs w:val="18"/>
          <w:lang w:val="en-GB" w:bidi="ar-SA"/>
        </w:rPr>
        <w:t xml:space="preserve">uture implants which steer society down </w:t>
      </w:r>
      <w:r>
        <w:rPr>
          <w:rFonts w:ascii="Times New Roman" w:hAnsi="Times New Roman" w:cs="Times New Roman"/>
          <w:sz w:val="18"/>
          <w:szCs w:val="18"/>
          <w:lang w:val="en-GB" w:bidi="ar-SA"/>
        </w:rPr>
        <w:t>a ‘</w:t>
      </w:r>
      <w:r w:rsidR="0080788E" w:rsidRPr="00901309">
        <w:rPr>
          <w:rFonts w:ascii="Times New Roman" w:hAnsi="Times New Roman" w:cs="Times New Roman"/>
          <w:i/>
          <w:sz w:val="18"/>
          <w:szCs w:val="18"/>
          <w:lang w:val="en-GB" w:bidi="ar-SA"/>
        </w:rPr>
        <w:t>cul-de-sac</w:t>
      </w:r>
      <w:r w:rsidRPr="00901309">
        <w:rPr>
          <w:rFonts w:ascii="Times New Roman" w:hAnsi="Times New Roman" w:cs="Times New Roman"/>
          <w:i/>
          <w:sz w:val="18"/>
          <w:szCs w:val="18"/>
          <w:lang w:val="en-GB" w:bidi="ar-SA"/>
        </w:rPr>
        <w:t>’</w:t>
      </w:r>
      <w:r w:rsidR="0080788E" w:rsidRPr="0080788E">
        <w:rPr>
          <w:rFonts w:ascii="Times New Roman" w:hAnsi="Times New Roman" w:cs="Times New Roman"/>
          <w:sz w:val="18"/>
          <w:szCs w:val="18"/>
          <w:lang w:val="en-GB" w:bidi="ar-SA"/>
        </w:rPr>
        <w:t>.</w:t>
      </w:r>
    </w:p>
    <w:p w:rsidR="0080788E" w:rsidRPr="0080788E" w:rsidRDefault="0080788E" w:rsidP="006809D7">
      <w:pPr>
        <w:autoSpaceDE w:val="0"/>
        <w:autoSpaceDN w:val="0"/>
        <w:adjustRightInd w:val="0"/>
        <w:spacing w:after="0" w:line="240" w:lineRule="auto"/>
        <w:jc w:val="both"/>
        <w:rPr>
          <w:rFonts w:ascii="Times New Roman" w:hAnsi="Times New Roman" w:cs="Times New Roman"/>
          <w:sz w:val="18"/>
          <w:szCs w:val="18"/>
          <w:lang w:val="en-GB" w:bidi="ar-SA"/>
        </w:rPr>
      </w:pPr>
      <w:r>
        <w:rPr>
          <w:rFonts w:ascii="Times New Roman" w:hAnsi="Times New Roman" w:cs="Times New Roman"/>
          <w:sz w:val="18"/>
          <w:szCs w:val="18"/>
          <w:lang w:val="en-GB" w:bidi="ar-SA"/>
        </w:rPr>
        <w:t>C</w:t>
      </w:r>
      <w:r w:rsidRPr="0080788E">
        <w:rPr>
          <w:rFonts w:ascii="Times New Roman" w:hAnsi="Times New Roman" w:cs="Times New Roman"/>
          <w:sz w:val="18"/>
          <w:szCs w:val="18"/>
          <w:lang w:val="en-GB" w:bidi="ar-SA"/>
        </w:rPr>
        <w:t xml:space="preserve">learly it is reasonable for regulatory agencies such as the </w:t>
      </w:r>
      <w:r w:rsidR="00DC0C0A">
        <w:rPr>
          <w:rFonts w:ascii="Times New Roman" w:hAnsi="Times New Roman" w:cs="Times New Roman"/>
          <w:sz w:val="18"/>
          <w:szCs w:val="18"/>
          <w:lang w:val="en-GB" w:bidi="ar-SA"/>
        </w:rPr>
        <w:t>Food and Drugs Admininstration (</w:t>
      </w:r>
      <w:r w:rsidRPr="0080788E">
        <w:rPr>
          <w:rFonts w:ascii="Times New Roman" w:hAnsi="Times New Roman" w:cs="Times New Roman"/>
          <w:sz w:val="18"/>
          <w:szCs w:val="18"/>
          <w:lang w:val="en-GB" w:bidi="ar-SA"/>
        </w:rPr>
        <w:t>F</w:t>
      </w:r>
      <w:r w:rsidR="00C640DB">
        <w:rPr>
          <w:rFonts w:ascii="Times New Roman" w:hAnsi="Times New Roman" w:cs="Times New Roman"/>
          <w:sz w:val="18"/>
          <w:szCs w:val="18"/>
          <w:lang w:val="en-GB" w:bidi="ar-SA"/>
        </w:rPr>
        <w:t>D</w:t>
      </w:r>
      <w:r w:rsidRPr="0080788E">
        <w:rPr>
          <w:rFonts w:ascii="Times New Roman" w:hAnsi="Times New Roman" w:cs="Times New Roman"/>
          <w:sz w:val="18"/>
          <w:szCs w:val="18"/>
          <w:lang w:val="en-GB" w:bidi="ar-SA"/>
        </w:rPr>
        <w:t>A</w:t>
      </w:r>
      <w:r w:rsidR="00DC0C0A">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and </w:t>
      </w:r>
      <w:r w:rsidR="00DC0C0A">
        <w:rPr>
          <w:rFonts w:ascii="Times New Roman" w:hAnsi="Times New Roman" w:cs="Times New Roman"/>
          <w:sz w:val="18"/>
          <w:szCs w:val="18"/>
          <w:lang w:val="en-GB" w:bidi="ar-SA"/>
        </w:rPr>
        <w:t>European Medical authority (</w:t>
      </w:r>
      <w:r w:rsidR="00C640DB">
        <w:rPr>
          <w:rFonts w:ascii="Times New Roman" w:hAnsi="Times New Roman" w:cs="Times New Roman"/>
          <w:sz w:val="18"/>
          <w:szCs w:val="18"/>
          <w:lang w:val="en-GB" w:bidi="ar-SA"/>
        </w:rPr>
        <w:t>E</w:t>
      </w:r>
      <w:r w:rsidRPr="0080788E">
        <w:rPr>
          <w:rFonts w:ascii="Times New Roman" w:hAnsi="Times New Roman" w:cs="Times New Roman"/>
          <w:sz w:val="18"/>
          <w:szCs w:val="18"/>
          <w:lang w:val="en-GB" w:bidi="ar-SA"/>
        </w:rPr>
        <w:t xml:space="preserve">MA) to step in if there is </w:t>
      </w:r>
      <w:r w:rsidR="00C640DB">
        <w:rPr>
          <w:rFonts w:ascii="Times New Roman" w:hAnsi="Times New Roman" w:cs="Times New Roman"/>
          <w:sz w:val="18"/>
          <w:szCs w:val="18"/>
          <w:lang w:val="en-GB" w:bidi="ar-SA"/>
        </w:rPr>
        <w:t>irrefutable</w:t>
      </w:r>
      <w:r w:rsidRPr="0080788E">
        <w:rPr>
          <w:rFonts w:ascii="Times New Roman" w:hAnsi="Times New Roman" w:cs="Times New Roman"/>
          <w:sz w:val="18"/>
          <w:szCs w:val="18"/>
          <w:lang w:val="en-GB" w:bidi="ar-SA"/>
        </w:rPr>
        <w:t xml:space="preserve"> evidence of catastrophic failure</w:t>
      </w:r>
      <w:r w:rsidR="00C640DB">
        <w:rPr>
          <w:rFonts w:ascii="Times New Roman" w:hAnsi="Times New Roman" w:cs="Times New Roman"/>
          <w:sz w:val="18"/>
          <w:szCs w:val="18"/>
          <w:lang w:val="en-GB" w:bidi="ar-SA"/>
        </w:rPr>
        <w:t>. F</w:t>
      </w:r>
      <w:r w:rsidR="00C640DB" w:rsidRPr="0080788E">
        <w:rPr>
          <w:rFonts w:ascii="Times New Roman" w:hAnsi="Times New Roman" w:cs="Times New Roman"/>
          <w:sz w:val="18"/>
          <w:szCs w:val="18"/>
          <w:lang w:val="en-GB" w:bidi="ar-SA"/>
        </w:rPr>
        <w:t xml:space="preserve">ortunately </w:t>
      </w:r>
      <w:r w:rsidRPr="0080788E">
        <w:rPr>
          <w:rFonts w:ascii="Times New Roman" w:hAnsi="Times New Roman" w:cs="Times New Roman"/>
          <w:sz w:val="18"/>
          <w:szCs w:val="18"/>
          <w:lang w:val="en-GB" w:bidi="ar-SA"/>
        </w:rPr>
        <w:t>however</w:t>
      </w:r>
      <w:r w:rsidR="00C640DB">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across the spectrum of implantable devices these are rare</w:t>
      </w:r>
      <w:r w:rsidR="00901309">
        <w:rPr>
          <w:rFonts w:ascii="Times New Roman" w:hAnsi="Times New Roman" w:cs="Times New Roman"/>
          <w:sz w:val="18"/>
          <w:szCs w:val="18"/>
          <w:lang w:val="en-GB" w:bidi="ar-SA"/>
        </w:rPr>
        <w:t>. U</w:t>
      </w:r>
      <w:r w:rsidRPr="0080788E">
        <w:rPr>
          <w:rFonts w:ascii="Times New Roman" w:hAnsi="Times New Roman" w:cs="Times New Roman"/>
          <w:sz w:val="18"/>
          <w:szCs w:val="18"/>
          <w:lang w:val="en-GB" w:bidi="ar-SA"/>
        </w:rPr>
        <w:t>nfortunately as rare as highly successful technologies are</w:t>
      </w:r>
      <w:r w:rsidR="00901309">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in effect </w:t>
      </w:r>
      <w:r w:rsidR="00901309">
        <w:rPr>
          <w:rFonts w:ascii="Times New Roman" w:hAnsi="Times New Roman" w:cs="Times New Roman"/>
          <w:sz w:val="18"/>
          <w:szCs w:val="18"/>
          <w:lang w:val="en-GB" w:bidi="ar-SA"/>
        </w:rPr>
        <w:t xml:space="preserve">they are seldom </w:t>
      </w:r>
      <w:r w:rsidR="004530C1" w:rsidRPr="0080788E">
        <w:rPr>
          <w:rFonts w:ascii="Times New Roman" w:hAnsi="Times New Roman" w:cs="Times New Roman"/>
          <w:sz w:val="18"/>
          <w:szCs w:val="18"/>
          <w:lang w:val="en-GB" w:bidi="ar-SA"/>
        </w:rPr>
        <w:t>bio inert</w:t>
      </w:r>
      <w:r w:rsidRPr="0080788E">
        <w:rPr>
          <w:rFonts w:ascii="Times New Roman" w:hAnsi="Times New Roman" w:cs="Times New Roman"/>
          <w:sz w:val="18"/>
          <w:szCs w:val="18"/>
          <w:lang w:val="en-GB" w:bidi="ar-SA"/>
        </w:rPr>
        <w:t xml:space="preserve">. The issue is the middle ground, where we must first address issues of how we analyse the complexity to ensure that salient features are recorded </w:t>
      </w:r>
      <w:r w:rsidR="00901309">
        <w:rPr>
          <w:rFonts w:ascii="Times New Roman" w:hAnsi="Times New Roman" w:cs="Times New Roman"/>
          <w:sz w:val="18"/>
          <w:szCs w:val="18"/>
          <w:lang w:val="en-GB" w:bidi="ar-SA"/>
        </w:rPr>
        <w:t xml:space="preserve">simply </w:t>
      </w:r>
      <w:r w:rsidRPr="0080788E">
        <w:rPr>
          <w:rFonts w:ascii="Times New Roman" w:hAnsi="Times New Roman" w:cs="Times New Roman"/>
          <w:sz w:val="18"/>
          <w:szCs w:val="18"/>
          <w:lang w:val="en-GB" w:bidi="ar-SA"/>
        </w:rPr>
        <w:t>within databases and those features</w:t>
      </w:r>
      <w:r w:rsidR="00DC0C0A">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which have been demonstrate</w:t>
      </w:r>
      <w:r w:rsidR="00901309">
        <w:rPr>
          <w:rFonts w:ascii="Times New Roman" w:hAnsi="Times New Roman" w:cs="Times New Roman"/>
          <w:sz w:val="18"/>
          <w:szCs w:val="18"/>
          <w:lang w:val="en-GB" w:bidi="ar-SA"/>
        </w:rPr>
        <w:t>d</w:t>
      </w:r>
      <w:r w:rsidRPr="0080788E">
        <w:rPr>
          <w:rFonts w:ascii="Times New Roman" w:hAnsi="Times New Roman" w:cs="Times New Roman"/>
          <w:sz w:val="18"/>
          <w:szCs w:val="18"/>
          <w:lang w:val="en-GB" w:bidi="ar-SA"/>
        </w:rPr>
        <w:t xml:space="preserve"> </w:t>
      </w:r>
      <w:r w:rsidR="00DC0C0A">
        <w:rPr>
          <w:rFonts w:ascii="Times New Roman" w:hAnsi="Times New Roman" w:cs="Times New Roman"/>
          <w:sz w:val="18"/>
          <w:szCs w:val="18"/>
          <w:lang w:val="en-GB" w:bidi="ar-SA"/>
        </w:rPr>
        <w:t xml:space="preserve">to be </w:t>
      </w:r>
      <w:r w:rsidRPr="0080788E">
        <w:rPr>
          <w:rFonts w:ascii="Times New Roman" w:hAnsi="Times New Roman" w:cs="Times New Roman"/>
          <w:sz w:val="18"/>
          <w:szCs w:val="18"/>
          <w:lang w:val="en-GB" w:bidi="ar-SA"/>
        </w:rPr>
        <w:t xml:space="preserve">identified as </w:t>
      </w:r>
      <w:r w:rsidR="00DC0C0A">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not fit for purpose</w:t>
      </w:r>
      <w:r w:rsidR="00901309">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w:t>
      </w:r>
      <w:r w:rsidR="00DC0C0A">
        <w:rPr>
          <w:rFonts w:ascii="Times New Roman" w:hAnsi="Times New Roman" w:cs="Times New Roman"/>
          <w:sz w:val="18"/>
          <w:szCs w:val="18"/>
          <w:lang w:val="en-GB" w:bidi="ar-SA"/>
        </w:rPr>
        <w:t xml:space="preserve">and so </w:t>
      </w:r>
      <w:r w:rsidRPr="0080788E">
        <w:rPr>
          <w:rFonts w:ascii="Times New Roman" w:hAnsi="Times New Roman" w:cs="Times New Roman"/>
          <w:sz w:val="18"/>
          <w:szCs w:val="18"/>
          <w:lang w:val="en-GB" w:bidi="ar-SA"/>
        </w:rPr>
        <w:t xml:space="preserve">can be quarantined from future design processes. </w:t>
      </w:r>
    </w:p>
    <w:p w:rsidR="0080788E" w:rsidRPr="0080788E" w:rsidRDefault="0080788E" w:rsidP="006809D7">
      <w:pPr>
        <w:autoSpaceDE w:val="0"/>
        <w:autoSpaceDN w:val="0"/>
        <w:adjustRightInd w:val="0"/>
        <w:spacing w:after="0" w:line="240" w:lineRule="auto"/>
        <w:jc w:val="both"/>
        <w:rPr>
          <w:rFonts w:ascii="Times New Roman" w:hAnsi="Times New Roman" w:cs="Times New Roman"/>
          <w:sz w:val="18"/>
          <w:szCs w:val="18"/>
          <w:lang w:val="en-GB" w:bidi="ar-SA"/>
        </w:rPr>
      </w:pPr>
      <w:r w:rsidRPr="0080788E">
        <w:rPr>
          <w:rFonts w:ascii="Times New Roman" w:hAnsi="Times New Roman" w:cs="Times New Roman"/>
          <w:sz w:val="18"/>
          <w:szCs w:val="18"/>
          <w:lang w:val="en-GB" w:bidi="ar-SA"/>
        </w:rPr>
        <w:t>As nanote</w:t>
      </w:r>
      <w:r>
        <w:rPr>
          <w:rFonts w:ascii="Times New Roman" w:hAnsi="Times New Roman" w:cs="Times New Roman"/>
          <w:sz w:val="18"/>
          <w:szCs w:val="18"/>
          <w:lang w:val="en-GB" w:bidi="ar-SA"/>
        </w:rPr>
        <w:t>chnologie</w:t>
      </w:r>
      <w:r w:rsidRPr="0080788E">
        <w:rPr>
          <w:rFonts w:ascii="Times New Roman" w:hAnsi="Times New Roman" w:cs="Times New Roman"/>
          <w:sz w:val="18"/>
          <w:szCs w:val="18"/>
          <w:lang w:val="en-GB" w:bidi="ar-SA"/>
        </w:rPr>
        <w:t xml:space="preserve">s develop, this negative aspect will need to be addressed so as to avoid the taint </w:t>
      </w:r>
      <w:r w:rsidR="00DC0C0A" w:rsidRPr="0080788E">
        <w:rPr>
          <w:rFonts w:ascii="Times New Roman" w:hAnsi="Times New Roman" w:cs="Times New Roman"/>
          <w:sz w:val="18"/>
          <w:szCs w:val="18"/>
          <w:lang w:val="en-GB" w:bidi="ar-SA"/>
        </w:rPr>
        <w:t xml:space="preserve">by association </w:t>
      </w:r>
      <w:r w:rsidRPr="0080788E">
        <w:rPr>
          <w:rFonts w:ascii="Times New Roman" w:hAnsi="Times New Roman" w:cs="Times New Roman"/>
          <w:sz w:val="18"/>
          <w:szCs w:val="18"/>
          <w:lang w:val="en-GB" w:bidi="ar-SA"/>
        </w:rPr>
        <w:t xml:space="preserve">of </w:t>
      </w:r>
      <w:r w:rsidR="00901309">
        <w:rPr>
          <w:rFonts w:ascii="Times New Roman" w:hAnsi="Times New Roman" w:cs="Times New Roman"/>
          <w:sz w:val="18"/>
          <w:szCs w:val="18"/>
          <w:lang w:val="en-GB" w:bidi="ar-SA"/>
        </w:rPr>
        <w:t xml:space="preserve">a </w:t>
      </w:r>
      <w:r w:rsidRPr="0080788E">
        <w:rPr>
          <w:rFonts w:ascii="Times New Roman" w:hAnsi="Times New Roman" w:cs="Times New Roman"/>
          <w:sz w:val="18"/>
          <w:szCs w:val="18"/>
          <w:lang w:val="en-GB" w:bidi="ar-SA"/>
        </w:rPr>
        <w:t>potentially very valuable industry.</w:t>
      </w:r>
    </w:p>
    <w:p w:rsidR="0080788E" w:rsidRPr="0080788E" w:rsidRDefault="0080788E" w:rsidP="006809D7">
      <w:pPr>
        <w:autoSpaceDE w:val="0"/>
        <w:autoSpaceDN w:val="0"/>
        <w:adjustRightInd w:val="0"/>
        <w:spacing w:after="0" w:line="240" w:lineRule="auto"/>
        <w:jc w:val="both"/>
        <w:rPr>
          <w:rFonts w:ascii="Times New Roman" w:hAnsi="Times New Roman" w:cs="Times New Roman"/>
          <w:sz w:val="18"/>
          <w:szCs w:val="18"/>
          <w:lang w:val="en-GB" w:bidi="ar-SA"/>
        </w:rPr>
      </w:pPr>
      <w:r w:rsidRPr="0080788E">
        <w:rPr>
          <w:rFonts w:ascii="Times New Roman" w:hAnsi="Times New Roman" w:cs="Times New Roman"/>
          <w:sz w:val="18"/>
          <w:szCs w:val="18"/>
          <w:lang w:val="en-GB" w:bidi="ar-SA"/>
        </w:rPr>
        <w:t xml:space="preserve">The proposed method would be considering the </w:t>
      </w:r>
      <w:r w:rsidR="00901309">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chain of evidence</w:t>
      </w:r>
      <w:r w:rsidR="00901309">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in a similar way to </w:t>
      </w:r>
      <w:r w:rsidR="00901309">
        <w:rPr>
          <w:rFonts w:ascii="Times New Roman" w:hAnsi="Times New Roman" w:cs="Times New Roman"/>
          <w:sz w:val="18"/>
          <w:szCs w:val="18"/>
          <w:lang w:val="en-GB" w:bidi="ar-SA"/>
        </w:rPr>
        <w:t>but the inverse of</w:t>
      </w:r>
      <w:r w:rsidRPr="0080788E">
        <w:rPr>
          <w:rFonts w:ascii="Times New Roman" w:hAnsi="Times New Roman" w:cs="Times New Roman"/>
          <w:sz w:val="18"/>
          <w:szCs w:val="18"/>
          <w:lang w:val="en-GB" w:bidi="ar-SA"/>
        </w:rPr>
        <w:t xml:space="preserve"> considering </w:t>
      </w:r>
      <w:r w:rsidR="00901309">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chain of error</w:t>
      </w:r>
      <w:r w:rsidR="00901309">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w:t>
      </w:r>
      <w:r w:rsidR="004530C1" w:rsidRPr="0080788E">
        <w:rPr>
          <w:rFonts w:ascii="Times New Roman" w:hAnsi="Times New Roman" w:cs="Times New Roman"/>
          <w:sz w:val="18"/>
          <w:szCs w:val="18"/>
          <w:lang w:val="en-GB" w:bidi="ar-SA"/>
        </w:rPr>
        <w:t>This positive aspect considers both the</w:t>
      </w:r>
      <w:r w:rsidR="00901309">
        <w:rPr>
          <w:rFonts w:ascii="Times New Roman" w:hAnsi="Times New Roman" w:cs="Times New Roman"/>
          <w:sz w:val="18"/>
          <w:szCs w:val="18"/>
          <w:lang w:val="en-GB" w:bidi="ar-SA"/>
        </w:rPr>
        <w:t xml:space="preserve"> data collected across the life-</w:t>
      </w:r>
      <w:r w:rsidR="004530C1" w:rsidRPr="0080788E">
        <w:rPr>
          <w:rFonts w:ascii="Times New Roman" w:hAnsi="Times New Roman" w:cs="Times New Roman"/>
          <w:sz w:val="18"/>
          <w:szCs w:val="18"/>
          <w:lang w:val="en-GB" w:bidi="ar-SA"/>
        </w:rPr>
        <w:t>science spectrum from different areas of basic science right t</w:t>
      </w:r>
      <w:r w:rsidR="00901309">
        <w:rPr>
          <w:rFonts w:ascii="Times New Roman" w:hAnsi="Times New Roman" w:cs="Times New Roman"/>
          <w:sz w:val="18"/>
          <w:szCs w:val="18"/>
          <w:lang w:val="en-GB" w:bidi="ar-SA"/>
        </w:rPr>
        <w:t xml:space="preserve">hrough to the process of design, </w:t>
      </w:r>
      <w:r w:rsidR="004530C1" w:rsidRPr="0080788E">
        <w:rPr>
          <w:rFonts w:ascii="Times New Roman" w:hAnsi="Times New Roman" w:cs="Times New Roman"/>
          <w:sz w:val="18"/>
          <w:szCs w:val="18"/>
          <w:lang w:val="en-GB" w:bidi="ar-SA"/>
        </w:rPr>
        <w:t xml:space="preserve">development </w:t>
      </w:r>
      <w:r w:rsidR="00901309">
        <w:rPr>
          <w:rFonts w:ascii="Times New Roman" w:hAnsi="Times New Roman" w:cs="Times New Roman"/>
          <w:sz w:val="18"/>
          <w:szCs w:val="18"/>
          <w:lang w:val="en-GB" w:bidi="ar-SA"/>
        </w:rPr>
        <w:t xml:space="preserve">and clinical testing, </w:t>
      </w:r>
      <w:r w:rsidR="004530C1" w:rsidRPr="0080788E">
        <w:rPr>
          <w:rFonts w:ascii="Times New Roman" w:hAnsi="Times New Roman" w:cs="Times New Roman"/>
          <w:sz w:val="18"/>
          <w:szCs w:val="18"/>
          <w:lang w:val="en-GB" w:bidi="ar-SA"/>
        </w:rPr>
        <w:t>industriali</w:t>
      </w:r>
      <w:r w:rsidR="004530C1">
        <w:rPr>
          <w:rFonts w:ascii="Times New Roman" w:hAnsi="Times New Roman" w:cs="Times New Roman"/>
          <w:sz w:val="18"/>
          <w:szCs w:val="18"/>
          <w:lang w:val="en-GB" w:bidi="ar-SA"/>
        </w:rPr>
        <w:t>z</w:t>
      </w:r>
      <w:r w:rsidR="004530C1" w:rsidRPr="0080788E">
        <w:rPr>
          <w:rFonts w:ascii="Times New Roman" w:hAnsi="Times New Roman" w:cs="Times New Roman"/>
          <w:sz w:val="18"/>
          <w:szCs w:val="18"/>
          <w:lang w:val="en-GB" w:bidi="ar-SA"/>
        </w:rPr>
        <w:t xml:space="preserve">ation </w:t>
      </w:r>
      <w:r w:rsidR="00901309" w:rsidRPr="0080788E">
        <w:rPr>
          <w:rFonts w:ascii="Times New Roman" w:hAnsi="Times New Roman" w:cs="Times New Roman"/>
          <w:sz w:val="18"/>
          <w:szCs w:val="18"/>
          <w:lang w:val="en-GB" w:bidi="ar-SA"/>
        </w:rPr>
        <w:t xml:space="preserve">and </w:t>
      </w:r>
      <w:r w:rsidR="004530C1" w:rsidRPr="0080788E">
        <w:rPr>
          <w:rFonts w:ascii="Times New Roman" w:hAnsi="Times New Roman" w:cs="Times New Roman"/>
          <w:sz w:val="18"/>
          <w:szCs w:val="18"/>
          <w:lang w:val="en-GB" w:bidi="ar-SA"/>
        </w:rPr>
        <w:t>commercialisation</w:t>
      </w:r>
      <w:r w:rsidR="00901309">
        <w:rPr>
          <w:rFonts w:ascii="Times New Roman" w:hAnsi="Times New Roman" w:cs="Times New Roman"/>
          <w:sz w:val="18"/>
          <w:szCs w:val="18"/>
          <w:lang w:val="en-GB" w:bidi="ar-SA"/>
        </w:rPr>
        <w:t>,</w:t>
      </w:r>
      <w:r w:rsidR="004530C1" w:rsidRPr="0080788E">
        <w:rPr>
          <w:rFonts w:ascii="Times New Roman" w:hAnsi="Times New Roman" w:cs="Times New Roman"/>
          <w:sz w:val="18"/>
          <w:szCs w:val="18"/>
          <w:lang w:val="en-GB" w:bidi="ar-SA"/>
        </w:rPr>
        <w:t xml:space="preserve"> in terms of technology transfer.  It</w:t>
      </w:r>
      <w:r w:rsidRPr="0080788E">
        <w:rPr>
          <w:rFonts w:ascii="Times New Roman" w:hAnsi="Times New Roman" w:cs="Times New Roman"/>
          <w:sz w:val="18"/>
          <w:szCs w:val="18"/>
          <w:lang w:val="en-GB" w:bidi="ar-SA"/>
        </w:rPr>
        <w:t xml:space="preserve"> is not unreasonable to consider that such an evidence path </w:t>
      </w:r>
      <w:r w:rsidR="00901309">
        <w:rPr>
          <w:rFonts w:ascii="Times New Roman" w:hAnsi="Times New Roman" w:cs="Times New Roman"/>
          <w:sz w:val="18"/>
          <w:szCs w:val="18"/>
          <w:lang w:val="en-GB" w:bidi="ar-SA"/>
        </w:rPr>
        <w:t xml:space="preserve">is </w:t>
      </w:r>
      <w:r w:rsidRPr="0080788E">
        <w:rPr>
          <w:rFonts w:ascii="Times New Roman" w:hAnsi="Times New Roman" w:cs="Times New Roman"/>
          <w:sz w:val="18"/>
          <w:szCs w:val="18"/>
          <w:lang w:val="en-GB" w:bidi="ar-SA"/>
        </w:rPr>
        <w:t>demonstra</w:t>
      </w:r>
      <w:r w:rsidR="00901309">
        <w:rPr>
          <w:rFonts w:ascii="Times New Roman" w:hAnsi="Times New Roman" w:cs="Times New Roman"/>
          <w:sz w:val="18"/>
          <w:szCs w:val="18"/>
          <w:lang w:val="en-GB" w:bidi="ar-SA"/>
        </w:rPr>
        <w:t>ble</w:t>
      </w:r>
      <w:r w:rsidRPr="0080788E">
        <w:rPr>
          <w:rFonts w:ascii="Times New Roman" w:hAnsi="Times New Roman" w:cs="Times New Roman"/>
          <w:sz w:val="18"/>
          <w:szCs w:val="18"/>
          <w:lang w:val="en-GB" w:bidi="ar-SA"/>
        </w:rPr>
        <w:t xml:space="preserve"> when seeking future regulation regulatory approval, however </w:t>
      </w:r>
      <w:r w:rsidR="00901309">
        <w:rPr>
          <w:rFonts w:ascii="Times New Roman" w:hAnsi="Times New Roman" w:cs="Times New Roman"/>
          <w:sz w:val="18"/>
          <w:szCs w:val="18"/>
          <w:lang w:val="en-GB" w:bidi="ar-SA"/>
        </w:rPr>
        <w:t xml:space="preserve">it </w:t>
      </w:r>
      <w:r w:rsidRPr="0080788E">
        <w:rPr>
          <w:rFonts w:ascii="Times New Roman" w:hAnsi="Times New Roman" w:cs="Times New Roman"/>
          <w:sz w:val="18"/>
          <w:szCs w:val="18"/>
          <w:lang w:val="en-GB" w:bidi="ar-SA"/>
        </w:rPr>
        <w:t>still has to be recognise</w:t>
      </w:r>
      <w:r w:rsidR="00901309">
        <w:rPr>
          <w:rFonts w:ascii="Times New Roman" w:hAnsi="Times New Roman" w:cs="Times New Roman"/>
          <w:sz w:val="18"/>
          <w:szCs w:val="18"/>
          <w:lang w:val="en-GB" w:bidi="ar-SA"/>
        </w:rPr>
        <w:t>d</w:t>
      </w:r>
      <w:r w:rsidRPr="0080788E">
        <w:rPr>
          <w:rFonts w:ascii="Times New Roman" w:hAnsi="Times New Roman" w:cs="Times New Roman"/>
          <w:sz w:val="18"/>
          <w:szCs w:val="18"/>
          <w:lang w:val="en-GB" w:bidi="ar-SA"/>
        </w:rPr>
        <w:t xml:space="preserve"> that this only accounts for the </w:t>
      </w:r>
      <w:r w:rsidR="00901309">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known </w:t>
      </w:r>
      <w:r w:rsidR="00901309">
        <w:rPr>
          <w:rFonts w:ascii="Times New Roman" w:hAnsi="Times New Roman" w:cs="Times New Roman"/>
          <w:sz w:val="18"/>
          <w:szCs w:val="18"/>
          <w:lang w:val="en-GB" w:bidi="ar-SA"/>
        </w:rPr>
        <w:t>known</w:t>
      </w:r>
      <w:r w:rsidRPr="0080788E">
        <w:rPr>
          <w:rFonts w:ascii="Times New Roman" w:hAnsi="Times New Roman" w:cs="Times New Roman"/>
          <w:sz w:val="18"/>
          <w:szCs w:val="18"/>
          <w:lang w:val="en-GB" w:bidi="ar-SA"/>
        </w:rPr>
        <w:t>s</w:t>
      </w:r>
      <w:r w:rsidR="00901309">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w:t>
      </w:r>
      <w:r w:rsidR="00901309">
        <w:rPr>
          <w:rFonts w:ascii="Times New Roman" w:hAnsi="Times New Roman" w:cs="Times New Roman"/>
          <w:sz w:val="18"/>
          <w:szCs w:val="18"/>
          <w:lang w:val="en-GB" w:bidi="ar-SA"/>
        </w:rPr>
        <w:t xml:space="preserve">(KK) </w:t>
      </w:r>
      <w:r w:rsidRPr="0080788E">
        <w:rPr>
          <w:rFonts w:ascii="Times New Roman" w:hAnsi="Times New Roman" w:cs="Times New Roman"/>
          <w:sz w:val="18"/>
          <w:szCs w:val="18"/>
          <w:lang w:val="en-GB" w:bidi="ar-SA"/>
        </w:rPr>
        <w:t xml:space="preserve">and </w:t>
      </w:r>
      <w:r w:rsidR="00901309">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unknown unknowns</w:t>
      </w:r>
      <w:r w:rsidR="00901309">
        <w:rPr>
          <w:rFonts w:ascii="Times New Roman" w:hAnsi="Times New Roman" w:cs="Times New Roman"/>
          <w:sz w:val="18"/>
          <w:szCs w:val="18"/>
          <w:lang w:val="en-GB" w:bidi="ar-SA"/>
        </w:rPr>
        <w:t>’ (UU) may be accessible</w:t>
      </w:r>
      <w:r w:rsidRPr="0080788E">
        <w:rPr>
          <w:rFonts w:ascii="Times New Roman" w:hAnsi="Times New Roman" w:cs="Times New Roman"/>
          <w:sz w:val="18"/>
          <w:szCs w:val="18"/>
          <w:lang w:val="en-GB" w:bidi="ar-SA"/>
        </w:rPr>
        <w:t xml:space="preserve"> through data mining.  </w:t>
      </w:r>
      <w:r w:rsidR="004530C1" w:rsidRPr="0080788E">
        <w:rPr>
          <w:rFonts w:ascii="Times New Roman" w:hAnsi="Times New Roman" w:cs="Times New Roman"/>
          <w:sz w:val="18"/>
          <w:szCs w:val="18"/>
          <w:lang w:val="en-GB" w:bidi="ar-SA"/>
        </w:rPr>
        <w:t>We</w:t>
      </w:r>
      <w:r w:rsidRPr="0080788E">
        <w:rPr>
          <w:rFonts w:ascii="Times New Roman" w:hAnsi="Times New Roman" w:cs="Times New Roman"/>
          <w:sz w:val="18"/>
          <w:szCs w:val="18"/>
          <w:lang w:val="en-GB" w:bidi="ar-SA"/>
        </w:rPr>
        <w:t xml:space="preserve"> are unfortunately </w:t>
      </w:r>
      <w:r w:rsidR="00DC0C0A" w:rsidRPr="0080788E">
        <w:rPr>
          <w:rFonts w:ascii="Times New Roman" w:hAnsi="Times New Roman" w:cs="Times New Roman"/>
          <w:sz w:val="18"/>
          <w:szCs w:val="18"/>
          <w:lang w:val="en-GB" w:bidi="ar-SA"/>
        </w:rPr>
        <w:t xml:space="preserve">left </w:t>
      </w:r>
      <w:r w:rsidRPr="0080788E">
        <w:rPr>
          <w:rFonts w:ascii="Times New Roman" w:hAnsi="Times New Roman" w:cs="Times New Roman"/>
          <w:sz w:val="18"/>
          <w:szCs w:val="18"/>
          <w:lang w:val="en-GB" w:bidi="ar-SA"/>
        </w:rPr>
        <w:t>with the situation where to develop a predict</w:t>
      </w:r>
      <w:r w:rsidR="00901309">
        <w:rPr>
          <w:rFonts w:ascii="Times New Roman" w:hAnsi="Times New Roman" w:cs="Times New Roman"/>
          <w:sz w:val="18"/>
          <w:szCs w:val="18"/>
          <w:lang w:val="en-GB" w:bidi="ar-SA"/>
        </w:rPr>
        <w:t>ive loop for future realisation;</w:t>
      </w:r>
      <w:r w:rsidRPr="0080788E">
        <w:rPr>
          <w:rFonts w:ascii="Times New Roman" w:hAnsi="Times New Roman" w:cs="Times New Roman"/>
          <w:sz w:val="18"/>
          <w:szCs w:val="18"/>
          <w:lang w:val="en-GB" w:bidi="ar-SA"/>
        </w:rPr>
        <w:t xml:space="preserve"> both the </w:t>
      </w:r>
      <w:r w:rsidR="00901309">
        <w:rPr>
          <w:rFonts w:ascii="Times New Roman" w:hAnsi="Times New Roman" w:cs="Times New Roman"/>
          <w:sz w:val="18"/>
          <w:szCs w:val="18"/>
          <w:lang w:val="en-GB" w:bidi="ar-SA"/>
        </w:rPr>
        <w:t>‘</w:t>
      </w:r>
      <w:r w:rsidR="004530C1" w:rsidRPr="0080788E">
        <w:rPr>
          <w:rFonts w:ascii="Times New Roman" w:hAnsi="Times New Roman" w:cs="Times New Roman"/>
          <w:sz w:val="18"/>
          <w:szCs w:val="18"/>
          <w:lang w:val="en-GB" w:bidi="ar-SA"/>
        </w:rPr>
        <w:t>unknown</w:t>
      </w:r>
      <w:r w:rsidR="00901309">
        <w:rPr>
          <w:rFonts w:ascii="Times New Roman" w:hAnsi="Times New Roman" w:cs="Times New Roman"/>
          <w:sz w:val="18"/>
          <w:szCs w:val="18"/>
          <w:lang w:val="en-GB" w:bidi="ar-SA"/>
        </w:rPr>
        <w:t xml:space="preserve"> knowns’ (KU),</w:t>
      </w:r>
      <w:r w:rsidRPr="0080788E">
        <w:rPr>
          <w:rFonts w:ascii="Times New Roman" w:hAnsi="Times New Roman" w:cs="Times New Roman"/>
          <w:sz w:val="18"/>
          <w:szCs w:val="18"/>
          <w:lang w:val="en-GB" w:bidi="ar-SA"/>
        </w:rPr>
        <w:t xml:space="preserve"> the </w:t>
      </w:r>
      <w:r w:rsidR="00901309">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known unknowns</w:t>
      </w:r>
      <w:r w:rsidR="00901309">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 xml:space="preserve"> </w:t>
      </w:r>
      <w:r w:rsidR="00901309">
        <w:rPr>
          <w:rFonts w:ascii="Times New Roman" w:hAnsi="Times New Roman" w:cs="Times New Roman"/>
          <w:sz w:val="18"/>
          <w:szCs w:val="18"/>
          <w:lang w:val="en-GB" w:bidi="ar-SA"/>
        </w:rPr>
        <w:t xml:space="preserve">(KU) </w:t>
      </w:r>
      <w:r w:rsidRPr="0080788E">
        <w:rPr>
          <w:rFonts w:ascii="Times New Roman" w:hAnsi="Times New Roman" w:cs="Times New Roman"/>
          <w:sz w:val="18"/>
          <w:szCs w:val="18"/>
          <w:lang w:val="en-GB" w:bidi="ar-SA"/>
        </w:rPr>
        <w:t xml:space="preserve">from registry information will have to plug the gap and hopefully diminish the </w:t>
      </w:r>
      <w:r w:rsidR="00901309">
        <w:rPr>
          <w:rFonts w:ascii="Times New Roman" w:hAnsi="Times New Roman" w:cs="Times New Roman"/>
          <w:sz w:val="18"/>
          <w:szCs w:val="18"/>
          <w:lang w:val="en-GB" w:bidi="ar-SA"/>
        </w:rPr>
        <w:t>‘</w:t>
      </w:r>
      <w:r w:rsidRPr="0080788E">
        <w:rPr>
          <w:rFonts w:ascii="Times New Roman" w:hAnsi="Times New Roman" w:cs="Times New Roman"/>
          <w:sz w:val="18"/>
          <w:szCs w:val="18"/>
          <w:lang w:val="en-GB" w:bidi="ar-SA"/>
        </w:rPr>
        <w:t>unknown unknowns</w:t>
      </w:r>
      <w:r w:rsidR="00901309">
        <w:rPr>
          <w:rFonts w:ascii="Times New Roman" w:hAnsi="Times New Roman" w:cs="Times New Roman"/>
          <w:sz w:val="18"/>
          <w:szCs w:val="18"/>
          <w:lang w:val="en-GB" w:bidi="ar-SA"/>
        </w:rPr>
        <w:t>’ (UU)</w:t>
      </w:r>
      <w:r w:rsidRPr="0080788E">
        <w:rPr>
          <w:rFonts w:ascii="Times New Roman" w:hAnsi="Times New Roman" w:cs="Times New Roman"/>
          <w:sz w:val="18"/>
          <w:szCs w:val="18"/>
          <w:lang w:val="en-GB" w:bidi="ar-SA"/>
        </w:rPr>
        <w:t xml:space="preserve"> which can jeopardise future technological progress.</w:t>
      </w:r>
    </w:p>
    <w:p w:rsidR="0080788E" w:rsidRDefault="00186A64" w:rsidP="006809D7">
      <w:pPr>
        <w:autoSpaceDE w:val="0"/>
        <w:autoSpaceDN w:val="0"/>
        <w:adjustRightInd w:val="0"/>
        <w:spacing w:after="0" w:line="240" w:lineRule="auto"/>
        <w:jc w:val="both"/>
        <w:rPr>
          <w:rFonts w:ascii="Times New Roman" w:hAnsi="Times New Roman" w:cs="Times New Roman"/>
          <w:sz w:val="18"/>
          <w:szCs w:val="18"/>
          <w:lang w:val="en-GB" w:bidi="ar-SA"/>
        </w:rPr>
      </w:pPr>
      <w:r w:rsidRPr="00186A64">
        <w:rPr>
          <w:rFonts w:ascii="Times New Roman" w:hAnsi="Times New Roman" w:cs="Times New Roman"/>
          <w:b/>
          <w:sz w:val="18"/>
          <w:szCs w:val="24"/>
        </w:rPr>
        <w:t>Conclusions</w:t>
      </w:r>
      <w:r w:rsidR="005A44DD">
        <w:rPr>
          <w:rFonts w:ascii="Times New Roman" w:hAnsi="Times New Roman" w:cs="Times New Roman"/>
          <w:b/>
          <w:sz w:val="18"/>
          <w:szCs w:val="24"/>
        </w:rPr>
        <w:t xml:space="preserve">: </w:t>
      </w:r>
      <w:r w:rsidR="0080788E" w:rsidRPr="0080788E">
        <w:rPr>
          <w:rFonts w:ascii="Times New Roman" w:hAnsi="Times New Roman" w:cs="Times New Roman"/>
          <w:sz w:val="18"/>
          <w:szCs w:val="18"/>
          <w:lang w:val="en-GB" w:bidi="ar-SA"/>
        </w:rPr>
        <w:t xml:space="preserve">Through machine learning, there are techniques available to predict these </w:t>
      </w:r>
      <w:r w:rsidR="00901309" w:rsidRPr="0080788E">
        <w:rPr>
          <w:rFonts w:ascii="Times New Roman" w:hAnsi="Times New Roman" w:cs="Times New Roman"/>
          <w:sz w:val="18"/>
          <w:szCs w:val="18"/>
          <w:lang w:val="en-GB" w:bidi="ar-SA"/>
        </w:rPr>
        <w:t xml:space="preserve">and </w:t>
      </w:r>
      <w:r w:rsidR="0080788E" w:rsidRPr="0080788E">
        <w:rPr>
          <w:rFonts w:ascii="Times New Roman" w:hAnsi="Times New Roman" w:cs="Times New Roman"/>
          <w:sz w:val="18"/>
          <w:szCs w:val="18"/>
          <w:lang w:val="en-GB" w:bidi="ar-SA"/>
        </w:rPr>
        <w:t>should be applied to the registries using specific evidence models which can be primed by data from industry.</w:t>
      </w:r>
      <w:r w:rsidR="0080788E">
        <w:rPr>
          <w:rFonts w:ascii="Times New Roman" w:hAnsi="Times New Roman" w:cs="Times New Roman"/>
          <w:sz w:val="18"/>
          <w:szCs w:val="18"/>
          <w:lang w:val="en-GB" w:bidi="ar-SA"/>
        </w:rPr>
        <w:t xml:space="preserve"> </w:t>
      </w:r>
      <w:r w:rsidR="0080788E" w:rsidRPr="0080788E">
        <w:rPr>
          <w:rFonts w:ascii="Times New Roman" w:hAnsi="Times New Roman" w:cs="Times New Roman"/>
          <w:sz w:val="18"/>
          <w:szCs w:val="18"/>
          <w:lang w:val="en-GB" w:bidi="ar-SA"/>
        </w:rPr>
        <w:t xml:space="preserve">At the same time, dissemination </w:t>
      </w:r>
      <w:r w:rsidR="00901309">
        <w:rPr>
          <w:rFonts w:ascii="Times New Roman" w:hAnsi="Times New Roman" w:cs="Times New Roman"/>
          <w:sz w:val="18"/>
          <w:szCs w:val="18"/>
          <w:lang w:val="en-GB" w:bidi="ar-SA"/>
        </w:rPr>
        <w:t>of</w:t>
      </w:r>
      <w:r w:rsidR="0080788E" w:rsidRPr="0080788E">
        <w:rPr>
          <w:rFonts w:ascii="Times New Roman" w:hAnsi="Times New Roman" w:cs="Times New Roman"/>
          <w:sz w:val="18"/>
          <w:szCs w:val="18"/>
          <w:lang w:val="en-GB" w:bidi="ar-SA"/>
        </w:rPr>
        <w:t xml:space="preserve"> established information should minimise the risk of future harm through rapid dissemination of results which are validated.</w:t>
      </w:r>
    </w:p>
    <w:p w:rsidR="00DC0C0A" w:rsidRPr="0080788E" w:rsidRDefault="00DC0C0A" w:rsidP="006809D7">
      <w:pPr>
        <w:autoSpaceDE w:val="0"/>
        <w:autoSpaceDN w:val="0"/>
        <w:adjustRightInd w:val="0"/>
        <w:spacing w:after="0" w:line="240" w:lineRule="auto"/>
        <w:jc w:val="both"/>
        <w:rPr>
          <w:rFonts w:ascii="Times New Roman" w:hAnsi="Times New Roman" w:cs="Times New Roman"/>
          <w:sz w:val="18"/>
          <w:szCs w:val="18"/>
          <w:lang w:val="en-GB" w:bidi="ar-SA"/>
        </w:rPr>
      </w:pPr>
      <w:r>
        <w:rPr>
          <w:rFonts w:ascii="Times New Roman" w:hAnsi="Times New Roman" w:cs="Times New Roman"/>
          <w:sz w:val="18"/>
          <w:szCs w:val="18"/>
          <w:lang w:val="en-GB" w:bidi="ar-SA"/>
        </w:rPr>
        <w:t>The development of a robust Translational Research (TR) approach</w:t>
      </w:r>
      <w:r w:rsidR="004B5BFA">
        <w:rPr>
          <w:rFonts w:ascii="Times New Roman" w:hAnsi="Times New Roman" w:cs="Times New Roman"/>
          <w:sz w:val="18"/>
          <w:szCs w:val="18"/>
          <w:lang w:val="en-GB" w:bidi="ar-SA"/>
        </w:rPr>
        <w:t xml:space="preserve"> </w:t>
      </w:r>
      <w:r w:rsidR="00960847">
        <w:rPr>
          <w:rFonts w:ascii="Times New Roman" w:hAnsi="Times New Roman" w:cs="Times New Roman"/>
          <w:sz w:val="18"/>
          <w:szCs w:val="18"/>
          <w:lang w:val="en-GB" w:bidi="ar-SA"/>
        </w:rPr>
        <w:fldChar w:fldCharType="begin"/>
      </w:r>
      <w:r w:rsidR="00960847">
        <w:rPr>
          <w:rFonts w:ascii="Times New Roman" w:hAnsi="Times New Roman" w:cs="Times New Roman"/>
          <w:sz w:val="18"/>
          <w:szCs w:val="18"/>
          <w:lang w:val="en-GB" w:bidi="ar-SA"/>
        </w:rPr>
        <w:instrText xml:space="preserve"> ADDIN REFMGR.CITE &lt;Refman&gt;&lt;Cite&gt;&lt;Author&gt;Miles-Board&lt;/Author&gt;&lt;Year&gt;2006&lt;/Year&gt;&lt;RecNum&gt;5&lt;/RecNum&gt;&lt;IDText&gt;Extending the role of a healthcare digital library environment to support orthopaedic research&lt;/IDText&gt;&lt;MDL Ref_Type="Journal"&gt;&lt;Ref_Type&gt;Journal&lt;/Ref_Type&gt;&lt;Ref_ID&gt;5&lt;/Ref_ID&gt;&lt;Title_Primary&gt;Extending the role of a healthcare digital library environment to support orthopaedic research&lt;/Title_Primary&gt;&lt;Authors_Primary&gt;Miles-Board,T.,Carr,L.,Wills,G.,Power,G.,Bailey,C.,Hall,W.,Stenning,M.and Grange,S.&lt;/Authors_Primary&gt;&lt;Date_Primary&gt;2006&lt;/Date_Primary&gt;&lt;Reprint&gt;Not in File&lt;/Reprint&gt;&lt;Start_Page&gt;93&lt;/Start_Page&gt;&lt;End_Page&gt;105&lt;/End_Page&gt;&lt;Periodical&gt;Health Informatics Journal,&lt;/Periodical&gt;&lt;Volume&gt;12&lt;/Volume&gt;&lt;Issue&gt;2&lt;/Issue&gt;&lt;ZZ_JournalFull&gt;&lt;f name="System"&gt;Health Informatics Journal,&lt;/f&gt;&lt;/ZZ_JournalFull&gt;&lt;ZZ_WorkformID&gt;1&lt;/ZZ_WorkformID&gt;&lt;/MDL&gt;&lt;/Cite&gt;&lt;/Refman&gt;</w:instrText>
      </w:r>
      <w:r w:rsidR="00960847">
        <w:rPr>
          <w:rFonts w:ascii="Times New Roman" w:hAnsi="Times New Roman" w:cs="Times New Roman"/>
          <w:sz w:val="18"/>
          <w:szCs w:val="18"/>
          <w:lang w:val="en-GB" w:bidi="ar-SA"/>
        </w:rPr>
        <w:fldChar w:fldCharType="separate"/>
      </w:r>
      <w:r w:rsidR="00960847">
        <w:rPr>
          <w:rFonts w:ascii="Times New Roman" w:hAnsi="Times New Roman" w:cs="Times New Roman"/>
          <w:noProof/>
          <w:sz w:val="18"/>
          <w:szCs w:val="18"/>
          <w:lang w:val="en-GB" w:bidi="ar-SA"/>
        </w:rPr>
        <w:t>(5)</w:t>
      </w:r>
      <w:r w:rsidR="00960847">
        <w:rPr>
          <w:rFonts w:ascii="Times New Roman" w:hAnsi="Times New Roman" w:cs="Times New Roman"/>
          <w:sz w:val="18"/>
          <w:szCs w:val="18"/>
          <w:lang w:val="en-GB" w:bidi="ar-SA"/>
        </w:rPr>
        <w:fldChar w:fldCharType="end"/>
      </w:r>
      <w:r>
        <w:rPr>
          <w:rFonts w:ascii="Times New Roman" w:hAnsi="Times New Roman" w:cs="Times New Roman"/>
          <w:sz w:val="18"/>
          <w:szCs w:val="18"/>
          <w:lang w:val="en-GB" w:bidi="ar-SA"/>
        </w:rPr>
        <w:t xml:space="preserve"> should therefore p</w:t>
      </w:r>
      <w:r w:rsidR="004B5BFA">
        <w:rPr>
          <w:rFonts w:ascii="Times New Roman" w:hAnsi="Times New Roman" w:cs="Times New Roman"/>
          <w:sz w:val="18"/>
          <w:szCs w:val="18"/>
          <w:lang w:val="en-GB" w:bidi="ar-SA"/>
        </w:rPr>
        <w:t>recede the clinical implementati</w:t>
      </w:r>
      <w:r>
        <w:rPr>
          <w:rFonts w:ascii="Times New Roman" w:hAnsi="Times New Roman" w:cs="Times New Roman"/>
          <w:sz w:val="18"/>
          <w:szCs w:val="18"/>
          <w:lang w:val="en-GB" w:bidi="ar-SA"/>
        </w:rPr>
        <w:t>on of future materials.</w:t>
      </w:r>
    </w:p>
    <w:p w:rsidR="00E257C5" w:rsidRDefault="00E257C5" w:rsidP="006809D7">
      <w:pPr>
        <w:tabs>
          <w:tab w:val="right" w:pos="360"/>
          <w:tab w:val="left" w:pos="540"/>
        </w:tabs>
        <w:spacing w:after="0" w:line="240" w:lineRule="auto"/>
        <w:ind w:left="540" w:hanging="540"/>
        <w:jc w:val="both"/>
        <w:rPr>
          <w:rFonts w:ascii="Times New Roman" w:hAnsi="Times New Roman" w:cs="Times New Roman"/>
          <w:b/>
          <w:sz w:val="16"/>
          <w:szCs w:val="16"/>
        </w:rPr>
      </w:pPr>
    </w:p>
    <w:tbl>
      <w:tblPr>
        <w:tblStyle w:val="LightShading"/>
        <w:tblW w:w="0" w:type="auto"/>
        <w:tblLook w:val="04A0"/>
      </w:tblPr>
      <w:tblGrid>
        <w:gridCol w:w="959"/>
        <w:gridCol w:w="1559"/>
        <w:gridCol w:w="1857"/>
      </w:tblGrid>
      <w:tr w:rsidR="00E257C5" w:rsidTr="00512B38">
        <w:trPr>
          <w:cnfStyle w:val="100000000000"/>
        </w:trPr>
        <w:tc>
          <w:tcPr>
            <w:cnfStyle w:val="001000000000"/>
            <w:tcW w:w="959" w:type="dxa"/>
          </w:tcPr>
          <w:p w:rsidR="00E257C5" w:rsidRPr="004B5BFA" w:rsidRDefault="00E257C5" w:rsidP="006809D7">
            <w:pPr>
              <w:tabs>
                <w:tab w:val="right" w:pos="360"/>
                <w:tab w:val="left" w:pos="540"/>
              </w:tabs>
              <w:jc w:val="both"/>
              <w:rPr>
                <w:rFonts w:ascii="Times New Roman" w:hAnsi="Times New Roman" w:cs="Times New Roman"/>
                <w:b w:val="0"/>
                <w:sz w:val="16"/>
              </w:rPr>
            </w:pPr>
          </w:p>
        </w:tc>
        <w:tc>
          <w:tcPr>
            <w:tcW w:w="1559" w:type="dxa"/>
          </w:tcPr>
          <w:p w:rsidR="00E1377A" w:rsidRPr="004B5BFA" w:rsidRDefault="00E257C5" w:rsidP="006809D7">
            <w:pPr>
              <w:tabs>
                <w:tab w:val="right" w:pos="360"/>
                <w:tab w:val="left" w:pos="540"/>
              </w:tabs>
              <w:jc w:val="both"/>
              <w:cnfStyle w:val="100000000000"/>
              <w:rPr>
                <w:rFonts w:ascii="Times New Roman" w:hAnsi="Times New Roman" w:cs="Times New Roman"/>
                <w:i/>
                <w:sz w:val="16"/>
              </w:rPr>
            </w:pPr>
            <w:r w:rsidRPr="004B5BFA">
              <w:rPr>
                <w:rFonts w:ascii="Times New Roman" w:hAnsi="Times New Roman" w:cs="Times New Roman"/>
                <w:i/>
                <w:sz w:val="16"/>
              </w:rPr>
              <w:t>Known</w:t>
            </w:r>
            <w:r w:rsidR="00E1377A" w:rsidRPr="004B5BFA">
              <w:rPr>
                <w:rFonts w:ascii="Times New Roman" w:hAnsi="Times New Roman" w:cs="Times New Roman"/>
                <w:i/>
                <w:sz w:val="16"/>
              </w:rPr>
              <w:t xml:space="preserve">         </w:t>
            </w:r>
          </w:p>
          <w:p w:rsidR="00E257C5" w:rsidRPr="004B5BFA" w:rsidRDefault="00512B38" w:rsidP="006809D7">
            <w:pPr>
              <w:tabs>
                <w:tab w:val="right" w:pos="360"/>
                <w:tab w:val="left" w:pos="540"/>
              </w:tabs>
              <w:jc w:val="both"/>
              <w:cnfStyle w:val="100000000000"/>
              <w:rPr>
                <w:rFonts w:ascii="Times New Roman" w:hAnsi="Times New Roman" w:cs="Times New Roman"/>
                <w:i/>
                <w:sz w:val="16"/>
              </w:rPr>
            </w:pPr>
            <w:r w:rsidRPr="004B5BFA">
              <w:rPr>
                <w:rFonts w:ascii="Times New Roman" w:hAnsi="Times New Roman" w:cs="Times New Roman"/>
                <w:i/>
                <w:sz w:val="16"/>
              </w:rPr>
              <w:t>B</w:t>
            </w:r>
            <w:r w:rsidR="00E1377A" w:rsidRPr="004B5BFA">
              <w:rPr>
                <w:rFonts w:ascii="Times New Roman" w:hAnsi="Times New Roman" w:cs="Times New Roman"/>
                <w:i/>
                <w:sz w:val="16"/>
              </w:rPr>
              <w:t>y community</w:t>
            </w:r>
          </w:p>
        </w:tc>
        <w:tc>
          <w:tcPr>
            <w:tcW w:w="1857" w:type="dxa"/>
          </w:tcPr>
          <w:p w:rsidR="00E257C5" w:rsidRPr="004B5BFA" w:rsidRDefault="00E257C5" w:rsidP="006809D7">
            <w:pPr>
              <w:tabs>
                <w:tab w:val="right" w:pos="360"/>
                <w:tab w:val="left" w:pos="540"/>
              </w:tabs>
              <w:jc w:val="both"/>
              <w:cnfStyle w:val="100000000000"/>
              <w:rPr>
                <w:rFonts w:ascii="Times New Roman" w:hAnsi="Times New Roman" w:cs="Times New Roman"/>
                <w:i/>
                <w:sz w:val="16"/>
              </w:rPr>
            </w:pPr>
            <w:r w:rsidRPr="004B5BFA">
              <w:rPr>
                <w:rFonts w:ascii="Times New Roman" w:hAnsi="Times New Roman" w:cs="Times New Roman"/>
                <w:i/>
                <w:sz w:val="16"/>
              </w:rPr>
              <w:t>Unknown</w:t>
            </w:r>
          </w:p>
          <w:p w:rsidR="00E1377A" w:rsidRPr="004B5BFA" w:rsidRDefault="00E1377A" w:rsidP="006809D7">
            <w:pPr>
              <w:tabs>
                <w:tab w:val="right" w:pos="360"/>
                <w:tab w:val="left" w:pos="540"/>
              </w:tabs>
              <w:jc w:val="both"/>
              <w:cnfStyle w:val="100000000000"/>
              <w:rPr>
                <w:rFonts w:ascii="Times New Roman" w:hAnsi="Times New Roman" w:cs="Times New Roman"/>
                <w:i/>
                <w:sz w:val="16"/>
              </w:rPr>
            </w:pPr>
            <w:r w:rsidRPr="004B5BFA">
              <w:rPr>
                <w:rFonts w:ascii="Times New Roman" w:hAnsi="Times New Roman" w:cs="Times New Roman"/>
                <w:i/>
                <w:sz w:val="16"/>
              </w:rPr>
              <w:t>By community</w:t>
            </w:r>
          </w:p>
        </w:tc>
      </w:tr>
      <w:tr w:rsidR="00E257C5" w:rsidTr="00512B38">
        <w:trPr>
          <w:cnfStyle w:val="000000100000"/>
        </w:trPr>
        <w:tc>
          <w:tcPr>
            <w:cnfStyle w:val="001000000000"/>
            <w:tcW w:w="959" w:type="dxa"/>
          </w:tcPr>
          <w:p w:rsidR="00E257C5" w:rsidRPr="004B5BFA" w:rsidRDefault="00E257C5" w:rsidP="006809D7">
            <w:pPr>
              <w:tabs>
                <w:tab w:val="right" w:pos="360"/>
                <w:tab w:val="left" w:pos="540"/>
              </w:tabs>
              <w:jc w:val="both"/>
              <w:rPr>
                <w:rFonts w:ascii="Times New Roman" w:hAnsi="Times New Roman" w:cs="Times New Roman"/>
                <w:b w:val="0"/>
                <w:sz w:val="16"/>
              </w:rPr>
            </w:pPr>
            <w:r w:rsidRPr="004B5BFA">
              <w:rPr>
                <w:rFonts w:ascii="Times New Roman" w:hAnsi="Times New Roman" w:cs="Times New Roman"/>
                <w:b w:val="0"/>
                <w:sz w:val="16"/>
              </w:rPr>
              <w:t>Known</w:t>
            </w:r>
            <w:r w:rsidR="00E1377A" w:rsidRPr="004B5BFA">
              <w:rPr>
                <w:rFonts w:ascii="Times New Roman" w:hAnsi="Times New Roman" w:cs="Times New Roman"/>
                <w:b w:val="0"/>
                <w:sz w:val="16"/>
              </w:rPr>
              <w:t xml:space="preserve"> by user</w:t>
            </w:r>
          </w:p>
        </w:tc>
        <w:tc>
          <w:tcPr>
            <w:tcW w:w="1559" w:type="dxa"/>
          </w:tcPr>
          <w:p w:rsidR="00E257C5" w:rsidRPr="004B5BFA" w:rsidRDefault="00E257C5" w:rsidP="006809D7">
            <w:pPr>
              <w:tabs>
                <w:tab w:val="right" w:pos="360"/>
                <w:tab w:val="left" w:pos="540"/>
              </w:tabs>
              <w:jc w:val="both"/>
              <w:cnfStyle w:val="000000100000"/>
              <w:rPr>
                <w:rFonts w:ascii="Times New Roman" w:hAnsi="Times New Roman" w:cs="Times New Roman"/>
                <w:b/>
                <w:sz w:val="16"/>
              </w:rPr>
            </w:pPr>
            <w:r w:rsidRPr="004B5BFA">
              <w:rPr>
                <w:rFonts w:ascii="Times New Roman" w:hAnsi="Times New Roman" w:cs="Times New Roman"/>
                <w:b/>
                <w:sz w:val="16"/>
              </w:rPr>
              <w:t>Known Knowns (KK)</w:t>
            </w:r>
          </w:p>
          <w:p w:rsidR="00F85F99" w:rsidRPr="004B5BFA" w:rsidRDefault="00F85F99" w:rsidP="006809D7">
            <w:pPr>
              <w:tabs>
                <w:tab w:val="right" w:pos="360"/>
                <w:tab w:val="left" w:pos="540"/>
              </w:tabs>
              <w:jc w:val="both"/>
              <w:cnfStyle w:val="000000100000"/>
              <w:rPr>
                <w:rFonts w:ascii="Times New Roman" w:hAnsi="Times New Roman" w:cs="Times New Roman"/>
                <w:sz w:val="16"/>
              </w:rPr>
            </w:pPr>
            <w:r w:rsidRPr="004B5BFA">
              <w:rPr>
                <w:rFonts w:ascii="Times New Roman" w:hAnsi="Times New Roman" w:cs="Times New Roman"/>
                <w:sz w:val="16"/>
              </w:rPr>
              <w:t xml:space="preserve">Information that we have access to </w:t>
            </w:r>
            <w:r w:rsidRPr="004B5BFA">
              <w:rPr>
                <w:rFonts w:ascii="Times New Roman" w:hAnsi="Times New Roman" w:cs="Times New Roman"/>
                <w:i/>
                <w:sz w:val="16"/>
              </w:rPr>
              <w:t>such as table 1</w:t>
            </w:r>
            <w:r w:rsidRPr="004B5BFA">
              <w:rPr>
                <w:rFonts w:ascii="Times New Roman" w:hAnsi="Times New Roman" w:cs="Times New Roman"/>
                <w:sz w:val="16"/>
              </w:rPr>
              <w:t xml:space="preserve"> </w:t>
            </w:r>
          </w:p>
        </w:tc>
        <w:tc>
          <w:tcPr>
            <w:tcW w:w="1857" w:type="dxa"/>
          </w:tcPr>
          <w:p w:rsidR="00E257C5" w:rsidRPr="004B5BFA" w:rsidRDefault="00F85F99" w:rsidP="006809D7">
            <w:pPr>
              <w:tabs>
                <w:tab w:val="right" w:pos="360"/>
                <w:tab w:val="left" w:pos="540"/>
              </w:tabs>
              <w:jc w:val="both"/>
              <w:cnfStyle w:val="000000100000"/>
              <w:rPr>
                <w:rFonts w:ascii="Times New Roman" w:hAnsi="Times New Roman" w:cs="Times New Roman"/>
                <w:b/>
                <w:sz w:val="16"/>
              </w:rPr>
            </w:pPr>
            <w:r w:rsidRPr="004B5BFA">
              <w:rPr>
                <w:rFonts w:ascii="Times New Roman" w:hAnsi="Times New Roman" w:cs="Times New Roman"/>
                <w:b/>
                <w:sz w:val="16"/>
              </w:rPr>
              <w:t>Unk</w:t>
            </w:r>
            <w:r w:rsidR="00E257C5" w:rsidRPr="004B5BFA">
              <w:rPr>
                <w:rFonts w:ascii="Times New Roman" w:hAnsi="Times New Roman" w:cs="Times New Roman"/>
                <w:b/>
                <w:sz w:val="16"/>
              </w:rPr>
              <w:t>nown Knowns (KK)</w:t>
            </w:r>
          </w:p>
          <w:p w:rsidR="00F85F99" w:rsidRPr="004B5BFA" w:rsidRDefault="00F85F99" w:rsidP="006809D7">
            <w:pPr>
              <w:tabs>
                <w:tab w:val="right" w:pos="360"/>
                <w:tab w:val="left" w:pos="540"/>
              </w:tabs>
              <w:jc w:val="both"/>
              <w:cnfStyle w:val="000000100000"/>
              <w:rPr>
                <w:rFonts w:ascii="Times New Roman" w:hAnsi="Times New Roman" w:cs="Times New Roman"/>
                <w:b/>
                <w:sz w:val="16"/>
              </w:rPr>
            </w:pPr>
            <w:r w:rsidRPr="004B5BFA">
              <w:rPr>
                <w:rFonts w:ascii="Times New Roman" w:hAnsi="Times New Roman" w:cs="Times New Roman"/>
                <w:sz w:val="16"/>
              </w:rPr>
              <w:t xml:space="preserve">Information that we do not yet have access to but could seek permission for </w:t>
            </w:r>
          </w:p>
        </w:tc>
      </w:tr>
      <w:tr w:rsidR="00E257C5" w:rsidTr="00512B38">
        <w:tc>
          <w:tcPr>
            <w:cnfStyle w:val="001000000000"/>
            <w:tcW w:w="959" w:type="dxa"/>
          </w:tcPr>
          <w:p w:rsidR="00E257C5" w:rsidRPr="004B5BFA" w:rsidRDefault="00E257C5" w:rsidP="006809D7">
            <w:pPr>
              <w:tabs>
                <w:tab w:val="right" w:pos="360"/>
                <w:tab w:val="left" w:pos="540"/>
              </w:tabs>
              <w:jc w:val="both"/>
              <w:rPr>
                <w:rFonts w:ascii="Times New Roman" w:hAnsi="Times New Roman" w:cs="Times New Roman"/>
                <w:b w:val="0"/>
                <w:sz w:val="16"/>
              </w:rPr>
            </w:pPr>
            <w:r w:rsidRPr="004B5BFA">
              <w:rPr>
                <w:rFonts w:ascii="Times New Roman" w:hAnsi="Times New Roman" w:cs="Times New Roman"/>
                <w:b w:val="0"/>
                <w:sz w:val="16"/>
              </w:rPr>
              <w:t>Unknown</w:t>
            </w:r>
            <w:r w:rsidR="00E1377A" w:rsidRPr="004B5BFA">
              <w:rPr>
                <w:rFonts w:ascii="Times New Roman" w:hAnsi="Times New Roman" w:cs="Times New Roman"/>
                <w:b w:val="0"/>
                <w:sz w:val="16"/>
              </w:rPr>
              <w:t xml:space="preserve"> by user</w:t>
            </w:r>
          </w:p>
        </w:tc>
        <w:tc>
          <w:tcPr>
            <w:tcW w:w="1559" w:type="dxa"/>
          </w:tcPr>
          <w:p w:rsidR="00E257C5" w:rsidRPr="004B5BFA" w:rsidRDefault="00E257C5" w:rsidP="006809D7">
            <w:pPr>
              <w:tabs>
                <w:tab w:val="right" w:pos="360"/>
                <w:tab w:val="left" w:pos="540"/>
              </w:tabs>
              <w:jc w:val="both"/>
              <w:cnfStyle w:val="000000000000"/>
              <w:rPr>
                <w:rFonts w:ascii="Times New Roman" w:hAnsi="Times New Roman" w:cs="Times New Roman"/>
                <w:b/>
                <w:sz w:val="16"/>
              </w:rPr>
            </w:pPr>
            <w:r w:rsidRPr="004B5BFA">
              <w:rPr>
                <w:rFonts w:ascii="Times New Roman" w:hAnsi="Times New Roman" w:cs="Times New Roman"/>
                <w:b/>
                <w:sz w:val="16"/>
              </w:rPr>
              <w:t>Known Unknowns (K</w:t>
            </w:r>
            <w:r w:rsidR="00F85F99" w:rsidRPr="004B5BFA">
              <w:rPr>
                <w:rFonts w:ascii="Times New Roman" w:hAnsi="Times New Roman" w:cs="Times New Roman"/>
                <w:b/>
                <w:sz w:val="16"/>
              </w:rPr>
              <w:t>U</w:t>
            </w:r>
            <w:r w:rsidRPr="004B5BFA">
              <w:rPr>
                <w:rFonts w:ascii="Times New Roman" w:hAnsi="Times New Roman" w:cs="Times New Roman"/>
                <w:b/>
                <w:sz w:val="16"/>
              </w:rPr>
              <w:t>)</w:t>
            </w:r>
          </w:p>
          <w:p w:rsidR="00F85F99" w:rsidRPr="004B5BFA" w:rsidRDefault="00F85F99" w:rsidP="0029396F">
            <w:pPr>
              <w:tabs>
                <w:tab w:val="right" w:pos="360"/>
                <w:tab w:val="left" w:pos="540"/>
              </w:tabs>
              <w:jc w:val="both"/>
              <w:cnfStyle w:val="000000000000"/>
              <w:rPr>
                <w:rFonts w:ascii="Times New Roman" w:hAnsi="Times New Roman" w:cs="Times New Roman"/>
                <w:b/>
                <w:sz w:val="16"/>
              </w:rPr>
            </w:pPr>
            <w:r w:rsidRPr="004B5BFA">
              <w:rPr>
                <w:rFonts w:ascii="Times New Roman" w:hAnsi="Times New Roman" w:cs="Times New Roman"/>
                <w:sz w:val="16"/>
              </w:rPr>
              <w:t xml:space="preserve">Information that we have access to </w:t>
            </w:r>
          </w:p>
        </w:tc>
        <w:tc>
          <w:tcPr>
            <w:tcW w:w="1857" w:type="dxa"/>
          </w:tcPr>
          <w:p w:rsidR="00F85F99" w:rsidRPr="004B5BFA" w:rsidRDefault="00E257C5" w:rsidP="006809D7">
            <w:pPr>
              <w:keepNext/>
              <w:tabs>
                <w:tab w:val="right" w:pos="360"/>
                <w:tab w:val="left" w:pos="540"/>
              </w:tabs>
              <w:jc w:val="both"/>
              <w:cnfStyle w:val="000000000000"/>
              <w:rPr>
                <w:rFonts w:ascii="Times New Roman" w:hAnsi="Times New Roman" w:cs="Times New Roman"/>
                <w:sz w:val="16"/>
              </w:rPr>
            </w:pPr>
            <w:r w:rsidRPr="004B5BFA">
              <w:rPr>
                <w:rFonts w:ascii="Times New Roman" w:hAnsi="Times New Roman" w:cs="Times New Roman"/>
                <w:b/>
                <w:sz w:val="16"/>
              </w:rPr>
              <w:t>Unknown Unknowns (</w:t>
            </w:r>
            <w:r w:rsidR="00F85F99" w:rsidRPr="004B5BFA">
              <w:rPr>
                <w:rFonts w:ascii="Times New Roman" w:hAnsi="Times New Roman" w:cs="Times New Roman"/>
                <w:b/>
                <w:sz w:val="16"/>
              </w:rPr>
              <w:t>UU</w:t>
            </w:r>
            <w:r w:rsidRPr="004B5BFA">
              <w:rPr>
                <w:rFonts w:ascii="Times New Roman" w:hAnsi="Times New Roman" w:cs="Times New Roman"/>
                <w:b/>
                <w:sz w:val="16"/>
              </w:rPr>
              <w:t>)</w:t>
            </w:r>
            <w:r w:rsidR="00F85F99" w:rsidRPr="004B5BFA">
              <w:rPr>
                <w:rFonts w:ascii="Times New Roman" w:hAnsi="Times New Roman" w:cs="Times New Roman"/>
                <w:sz w:val="16"/>
              </w:rPr>
              <w:t xml:space="preserve"> </w:t>
            </w:r>
          </w:p>
          <w:p w:rsidR="00E257C5" w:rsidRPr="004B5BFA" w:rsidRDefault="00F85F99" w:rsidP="0029396F">
            <w:pPr>
              <w:keepNext/>
              <w:tabs>
                <w:tab w:val="right" w:pos="360"/>
                <w:tab w:val="left" w:pos="540"/>
              </w:tabs>
              <w:jc w:val="both"/>
              <w:cnfStyle w:val="000000000000"/>
              <w:rPr>
                <w:rFonts w:ascii="Times New Roman" w:hAnsi="Times New Roman" w:cs="Times New Roman"/>
                <w:b/>
                <w:sz w:val="16"/>
              </w:rPr>
            </w:pPr>
            <w:r w:rsidRPr="004B5BFA">
              <w:rPr>
                <w:rFonts w:ascii="Times New Roman" w:hAnsi="Times New Roman" w:cs="Times New Roman"/>
                <w:sz w:val="16"/>
              </w:rPr>
              <w:t xml:space="preserve">Information that may be very relevant but which is not </w:t>
            </w:r>
            <w:r w:rsidR="0029396F" w:rsidRPr="004B5BFA">
              <w:rPr>
                <w:rFonts w:ascii="Times New Roman" w:hAnsi="Times New Roman" w:cs="Times New Roman"/>
                <w:sz w:val="16"/>
              </w:rPr>
              <w:t>‘</w:t>
            </w:r>
            <w:r w:rsidRPr="004B5BFA">
              <w:rPr>
                <w:rFonts w:ascii="Times New Roman" w:hAnsi="Times New Roman" w:cs="Times New Roman"/>
                <w:sz w:val="16"/>
              </w:rPr>
              <w:t>on the horizon</w:t>
            </w:r>
            <w:r w:rsidR="0029396F" w:rsidRPr="004B5BFA">
              <w:rPr>
                <w:rFonts w:ascii="Times New Roman" w:hAnsi="Times New Roman" w:cs="Times New Roman"/>
                <w:sz w:val="16"/>
              </w:rPr>
              <w:t>’</w:t>
            </w:r>
            <w:r w:rsidRPr="004B5BFA">
              <w:rPr>
                <w:rFonts w:ascii="Times New Roman" w:hAnsi="Times New Roman" w:cs="Times New Roman"/>
                <w:sz w:val="16"/>
              </w:rPr>
              <w:t xml:space="preserve"> </w:t>
            </w:r>
          </w:p>
        </w:tc>
      </w:tr>
    </w:tbl>
    <w:p w:rsidR="00E257C5" w:rsidRPr="0029396F" w:rsidRDefault="00E257C5" w:rsidP="00960847">
      <w:pPr>
        <w:pStyle w:val="Caption"/>
        <w:spacing w:after="0" w:line="240" w:lineRule="auto"/>
        <w:jc w:val="right"/>
        <w:rPr>
          <w:sz w:val="16"/>
        </w:rPr>
      </w:pPr>
      <w:r w:rsidRPr="0029396F">
        <w:rPr>
          <w:sz w:val="16"/>
        </w:rPr>
        <w:t xml:space="preserve">Table </w:t>
      </w:r>
      <w:r w:rsidR="006953DA" w:rsidRPr="0029396F">
        <w:rPr>
          <w:sz w:val="16"/>
        </w:rPr>
        <w:fldChar w:fldCharType="begin"/>
      </w:r>
      <w:r w:rsidR="006953DA" w:rsidRPr="0029396F">
        <w:rPr>
          <w:sz w:val="16"/>
        </w:rPr>
        <w:instrText xml:space="preserve"> SEQ Table \* ARABIC </w:instrText>
      </w:r>
      <w:r w:rsidR="006953DA" w:rsidRPr="0029396F">
        <w:rPr>
          <w:sz w:val="16"/>
        </w:rPr>
        <w:fldChar w:fldCharType="separate"/>
      </w:r>
      <w:r w:rsidR="006C1F3C">
        <w:rPr>
          <w:noProof/>
          <w:sz w:val="16"/>
        </w:rPr>
        <w:t>2</w:t>
      </w:r>
      <w:r w:rsidR="006953DA" w:rsidRPr="0029396F">
        <w:rPr>
          <w:sz w:val="16"/>
        </w:rPr>
        <w:fldChar w:fldCharType="end"/>
      </w:r>
      <w:r w:rsidRPr="0029396F">
        <w:rPr>
          <w:sz w:val="16"/>
        </w:rPr>
        <w:t xml:space="preserve"> </w:t>
      </w:r>
      <w:r w:rsidR="0029396F" w:rsidRPr="0029396F">
        <w:rPr>
          <w:sz w:val="16"/>
        </w:rPr>
        <w:t>‘</w:t>
      </w:r>
      <w:r w:rsidRPr="0029396F">
        <w:rPr>
          <w:sz w:val="16"/>
        </w:rPr>
        <w:t>Rumsfeld's</w:t>
      </w:r>
      <w:r w:rsidR="0029396F" w:rsidRPr="0029396F">
        <w:rPr>
          <w:sz w:val="16"/>
        </w:rPr>
        <w:t>’</w:t>
      </w:r>
      <w:r w:rsidRPr="0029396F">
        <w:rPr>
          <w:sz w:val="16"/>
        </w:rPr>
        <w:t xml:space="preserve"> Paradigm</w:t>
      </w:r>
    </w:p>
    <w:p w:rsidR="00960847" w:rsidRPr="00960847" w:rsidRDefault="00DB1FFE" w:rsidP="004B5BFA">
      <w:pPr>
        <w:spacing w:after="0"/>
        <w:rPr>
          <w:rFonts w:cs="Times New Roman"/>
          <w:noProof/>
          <w:sz w:val="14"/>
          <w:szCs w:val="16"/>
        </w:rPr>
      </w:pPr>
      <w:r w:rsidRPr="00DB1FFE">
        <w:rPr>
          <w:rFonts w:ascii="Times New Roman" w:hAnsi="Times New Roman" w:cs="Times New Roman"/>
          <w:b/>
          <w:sz w:val="18"/>
        </w:rPr>
        <w:t>References:</w:t>
      </w:r>
      <w:r w:rsidR="00BF0CC1" w:rsidRPr="00960847">
        <w:rPr>
          <w:rFonts w:cs="Times New Roman"/>
          <w:sz w:val="16"/>
          <w:szCs w:val="16"/>
        </w:rPr>
        <w:fldChar w:fldCharType="begin"/>
      </w:r>
      <w:r w:rsidR="00BF0CC1" w:rsidRPr="00960847">
        <w:rPr>
          <w:rFonts w:cs="Times New Roman"/>
          <w:sz w:val="16"/>
          <w:szCs w:val="16"/>
        </w:rPr>
        <w:instrText xml:space="preserve"> ADDIN REFMGR.REFLIST </w:instrText>
      </w:r>
      <w:r w:rsidR="00BF0CC1" w:rsidRPr="00960847">
        <w:rPr>
          <w:rFonts w:cs="Times New Roman"/>
          <w:sz w:val="16"/>
          <w:szCs w:val="16"/>
        </w:rPr>
        <w:fldChar w:fldCharType="separate"/>
      </w:r>
    </w:p>
    <w:p w:rsidR="00960847" w:rsidRPr="004B5BFA" w:rsidRDefault="00512B38" w:rsidP="004B5BFA">
      <w:pPr>
        <w:tabs>
          <w:tab w:val="right" w:pos="360"/>
          <w:tab w:val="left" w:pos="540"/>
        </w:tabs>
        <w:spacing w:after="0" w:line="240" w:lineRule="auto"/>
        <w:ind w:left="540" w:hanging="540"/>
        <w:jc w:val="both"/>
        <w:rPr>
          <w:rFonts w:cs="Times New Roman"/>
          <w:noProof/>
          <w:sz w:val="16"/>
          <w:szCs w:val="16"/>
        </w:rPr>
      </w:pPr>
      <w:r>
        <w:rPr>
          <w:rFonts w:cs="Times New Roman"/>
          <w:noProof/>
          <w:sz w:val="14"/>
          <w:szCs w:val="16"/>
        </w:rPr>
        <w:tab/>
      </w:r>
      <w:r w:rsidR="00960847" w:rsidRPr="004B5BFA">
        <w:rPr>
          <w:rFonts w:cs="Times New Roman"/>
          <w:noProof/>
          <w:sz w:val="16"/>
          <w:szCs w:val="16"/>
        </w:rPr>
        <w:t xml:space="preserve">(1) </w:t>
      </w:r>
      <w:r w:rsidR="00960847" w:rsidRPr="004B5BFA">
        <w:rPr>
          <w:rFonts w:cs="Times New Roman"/>
          <w:noProof/>
          <w:sz w:val="16"/>
          <w:szCs w:val="16"/>
        </w:rPr>
        <w:tab/>
        <w:t xml:space="preserve">Art Sedrakyan. Metal-on-metal failures—in science, regulation, and policy. </w:t>
      </w:r>
      <w:r w:rsidR="00960847" w:rsidRPr="004B5BFA">
        <w:rPr>
          <w:rFonts w:cs="Times New Roman"/>
          <w:noProof/>
          <w:sz w:val="14"/>
          <w:szCs w:val="16"/>
        </w:rPr>
        <w:t>Lancet 2012 Mar 13;379(1174):1176.</w:t>
      </w:r>
    </w:p>
    <w:p w:rsidR="00960847" w:rsidRPr="004B5BFA" w:rsidRDefault="00512B38" w:rsidP="004B5BFA">
      <w:pPr>
        <w:tabs>
          <w:tab w:val="right" w:pos="360"/>
          <w:tab w:val="left" w:pos="540"/>
        </w:tabs>
        <w:spacing w:after="0" w:line="240" w:lineRule="auto"/>
        <w:ind w:left="540" w:hanging="540"/>
        <w:jc w:val="both"/>
        <w:rPr>
          <w:rFonts w:cs="Times New Roman"/>
          <w:noProof/>
          <w:sz w:val="16"/>
          <w:szCs w:val="16"/>
        </w:rPr>
      </w:pPr>
      <w:r w:rsidRPr="004B5BFA">
        <w:rPr>
          <w:rFonts w:cs="Times New Roman"/>
          <w:noProof/>
          <w:sz w:val="16"/>
          <w:szCs w:val="16"/>
        </w:rPr>
        <w:tab/>
      </w:r>
      <w:r w:rsidR="00960847" w:rsidRPr="004B5BFA">
        <w:rPr>
          <w:rFonts w:cs="Times New Roman"/>
          <w:noProof/>
          <w:sz w:val="16"/>
          <w:szCs w:val="16"/>
        </w:rPr>
        <w:t xml:space="preserve">(2) </w:t>
      </w:r>
      <w:r w:rsidR="00960847" w:rsidRPr="004B5BFA">
        <w:rPr>
          <w:rFonts w:cs="Times New Roman"/>
          <w:noProof/>
          <w:sz w:val="16"/>
          <w:szCs w:val="16"/>
        </w:rPr>
        <w:tab/>
        <w:t xml:space="preserve">Alison J Smith </w:t>
      </w:r>
      <w:r w:rsidR="004B5BFA" w:rsidRPr="004B5BFA">
        <w:rPr>
          <w:rFonts w:cs="Times New Roman"/>
          <w:i/>
          <w:noProof/>
          <w:sz w:val="16"/>
          <w:szCs w:val="16"/>
        </w:rPr>
        <w:t>et al</w:t>
      </w:r>
      <w:r w:rsidR="00960847" w:rsidRPr="004B5BFA">
        <w:rPr>
          <w:rFonts w:cs="Times New Roman"/>
          <w:i/>
          <w:noProof/>
          <w:sz w:val="16"/>
          <w:szCs w:val="16"/>
        </w:rPr>
        <w:t>,</w:t>
      </w:r>
      <w:r w:rsidR="00960847" w:rsidRPr="004B5BFA">
        <w:rPr>
          <w:rFonts w:cs="Times New Roman"/>
          <w:noProof/>
          <w:sz w:val="16"/>
          <w:szCs w:val="16"/>
        </w:rPr>
        <w:t xml:space="preserve"> on behalf of the National Joint Registry of England and Wales. Failure rates of stemmed metal-on-metal hip replacements: analysis of data from the National Joint Registry of England and Wales. </w:t>
      </w:r>
      <w:r w:rsidR="00960847" w:rsidRPr="004B5BFA">
        <w:rPr>
          <w:rFonts w:cs="Times New Roman"/>
          <w:noProof/>
          <w:sz w:val="14"/>
          <w:szCs w:val="16"/>
        </w:rPr>
        <w:t xml:space="preserve">Lancet 379, 1199-1204. 13-3-2012. </w:t>
      </w:r>
    </w:p>
    <w:p w:rsidR="00960847" w:rsidRPr="004B5BFA" w:rsidRDefault="00512B38" w:rsidP="004B5BFA">
      <w:pPr>
        <w:tabs>
          <w:tab w:val="right" w:pos="360"/>
          <w:tab w:val="left" w:pos="540"/>
        </w:tabs>
        <w:spacing w:after="0" w:line="240" w:lineRule="auto"/>
        <w:ind w:left="540" w:hanging="540"/>
        <w:jc w:val="both"/>
        <w:rPr>
          <w:rFonts w:cs="Times New Roman"/>
          <w:noProof/>
          <w:sz w:val="16"/>
          <w:szCs w:val="16"/>
        </w:rPr>
      </w:pPr>
      <w:r w:rsidRPr="004B5BFA">
        <w:rPr>
          <w:rFonts w:cs="Times New Roman"/>
          <w:noProof/>
          <w:sz w:val="16"/>
          <w:szCs w:val="16"/>
        </w:rPr>
        <w:tab/>
      </w:r>
      <w:r w:rsidR="00960847" w:rsidRPr="004B5BFA">
        <w:rPr>
          <w:rFonts w:cs="Times New Roman"/>
          <w:noProof/>
          <w:sz w:val="16"/>
          <w:szCs w:val="16"/>
        </w:rPr>
        <w:t xml:space="preserve">(3) </w:t>
      </w:r>
      <w:r w:rsidR="00960847" w:rsidRPr="004B5BFA">
        <w:rPr>
          <w:rFonts w:cs="Times New Roman"/>
          <w:noProof/>
          <w:sz w:val="16"/>
          <w:szCs w:val="16"/>
        </w:rPr>
        <w:tab/>
        <w:t xml:space="preserve">Creative Commons Licences.  22-5-2012. </w:t>
      </w:r>
      <w:r w:rsidRPr="004B5BFA">
        <w:rPr>
          <w:rFonts w:cs="Times New Roman"/>
          <w:noProof/>
          <w:sz w:val="14"/>
          <w:szCs w:val="16"/>
        </w:rPr>
        <w:t xml:space="preserve">www.creativecommons.org/licences </w:t>
      </w:r>
    </w:p>
    <w:p w:rsidR="00960847" w:rsidRPr="004B5BFA" w:rsidRDefault="00512B38" w:rsidP="004B5BFA">
      <w:pPr>
        <w:tabs>
          <w:tab w:val="right" w:pos="360"/>
          <w:tab w:val="left" w:pos="540"/>
        </w:tabs>
        <w:spacing w:after="0" w:line="240" w:lineRule="auto"/>
        <w:ind w:left="540" w:hanging="540"/>
        <w:jc w:val="both"/>
        <w:rPr>
          <w:rFonts w:cs="Times New Roman"/>
          <w:noProof/>
          <w:sz w:val="16"/>
          <w:szCs w:val="16"/>
        </w:rPr>
      </w:pPr>
      <w:r w:rsidRPr="004B5BFA">
        <w:rPr>
          <w:rFonts w:cs="Times New Roman"/>
          <w:noProof/>
          <w:sz w:val="16"/>
          <w:szCs w:val="16"/>
        </w:rPr>
        <w:tab/>
      </w:r>
      <w:r w:rsidR="00960847" w:rsidRPr="004B5BFA">
        <w:rPr>
          <w:rFonts w:cs="Times New Roman"/>
          <w:noProof/>
          <w:sz w:val="16"/>
          <w:szCs w:val="16"/>
        </w:rPr>
        <w:t xml:space="preserve">(4) </w:t>
      </w:r>
      <w:r w:rsidR="00960847" w:rsidRPr="004B5BFA">
        <w:rPr>
          <w:rFonts w:cs="Times New Roman"/>
          <w:noProof/>
          <w:sz w:val="16"/>
          <w:szCs w:val="16"/>
        </w:rPr>
        <w:tab/>
        <w:t xml:space="preserve">Daniel J </w:t>
      </w:r>
      <w:r w:rsidR="00960847" w:rsidRPr="004B5BFA">
        <w:rPr>
          <w:rFonts w:cs="Times New Roman"/>
          <w:i/>
          <w:noProof/>
          <w:sz w:val="16"/>
          <w:szCs w:val="16"/>
        </w:rPr>
        <w:t>et al</w:t>
      </w:r>
      <w:r w:rsidR="00960847" w:rsidRPr="004B5BFA">
        <w:rPr>
          <w:rFonts w:cs="Times New Roman"/>
          <w:noProof/>
          <w:sz w:val="16"/>
          <w:szCs w:val="16"/>
        </w:rPr>
        <w:t xml:space="preserve">. The validity of serum levels as a surrogate measure of systemic exposure to metal ions in hip replacement. </w:t>
      </w:r>
      <w:r w:rsidR="00960847" w:rsidRPr="004B5BFA">
        <w:rPr>
          <w:rFonts w:cs="Times New Roman"/>
          <w:noProof/>
          <w:sz w:val="14"/>
          <w:szCs w:val="16"/>
        </w:rPr>
        <w:t xml:space="preserve">J Bone Joint Surg Br 89-B[6], 736-742. 2007. </w:t>
      </w:r>
    </w:p>
    <w:p w:rsidR="00DB1FFE" w:rsidRPr="00BF0CC1" w:rsidRDefault="00512B38" w:rsidP="004B5BFA">
      <w:pPr>
        <w:tabs>
          <w:tab w:val="right" w:pos="360"/>
          <w:tab w:val="left" w:pos="540"/>
        </w:tabs>
        <w:spacing w:after="0" w:line="240" w:lineRule="auto"/>
        <w:ind w:left="540" w:hanging="540"/>
        <w:jc w:val="both"/>
        <w:rPr>
          <w:sz w:val="14"/>
        </w:rPr>
      </w:pPr>
      <w:r w:rsidRPr="004B5BFA">
        <w:rPr>
          <w:rFonts w:cs="Times New Roman"/>
          <w:noProof/>
          <w:sz w:val="16"/>
          <w:szCs w:val="16"/>
        </w:rPr>
        <w:tab/>
      </w:r>
      <w:r w:rsidR="00960847" w:rsidRPr="004B5BFA">
        <w:rPr>
          <w:rFonts w:cs="Times New Roman"/>
          <w:noProof/>
          <w:sz w:val="16"/>
          <w:szCs w:val="16"/>
        </w:rPr>
        <w:t xml:space="preserve">(5) </w:t>
      </w:r>
      <w:r w:rsidR="00960847" w:rsidRPr="004B5BFA">
        <w:rPr>
          <w:rFonts w:cs="Times New Roman"/>
          <w:noProof/>
          <w:sz w:val="16"/>
          <w:szCs w:val="16"/>
        </w:rPr>
        <w:tab/>
        <w:t xml:space="preserve">Miles-Board </w:t>
      </w:r>
      <w:r w:rsidR="00960847" w:rsidRPr="004B5BFA">
        <w:rPr>
          <w:rFonts w:cs="Times New Roman"/>
          <w:i/>
          <w:noProof/>
          <w:sz w:val="16"/>
          <w:szCs w:val="16"/>
        </w:rPr>
        <w:t>et al</w:t>
      </w:r>
      <w:r w:rsidR="00960847" w:rsidRPr="004B5BFA">
        <w:rPr>
          <w:rFonts w:cs="Times New Roman"/>
          <w:noProof/>
          <w:sz w:val="16"/>
          <w:szCs w:val="16"/>
        </w:rPr>
        <w:t>. Extending the role of a healthcare digital library environment to support orthopaedic research. Health Informatics Journal, 2006;12(2):93-105.</w:t>
      </w:r>
      <w:r w:rsidR="00BF0CC1" w:rsidRPr="00960847">
        <w:rPr>
          <w:rFonts w:cs="Times New Roman"/>
          <w:sz w:val="16"/>
          <w:szCs w:val="16"/>
        </w:rPr>
        <w:fldChar w:fldCharType="end"/>
      </w:r>
    </w:p>
    <w:sectPr w:rsidR="00DB1FFE" w:rsidRPr="00BF0CC1" w:rsidSect="005954E0">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AF3" w:rsidRDefault="009B0AF3" w:rsidP="00114EC8">
      <w:pPr>
        <w:spacing w:after="0" w:line="240" w:lineRule="auto"/>
      </w:pPr>
      <w:r>
        <w:separator/>
      </w:r>
    </w:p>
  </w:endnote>
  <w:endnote w:type="continuationSeparator" w:id="0">
    <w:p w:rsidR="009B0AF3" w:rsidRDefault="009B0AF3" w:rsidP="00114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8"/>
      <w:gridCol w:w="8284"/>
    </w:tblGrid>
    <w:tr w:rsidR="00AA206B">
      <w:tc>
        <w:tcPr>
          <w:tcW w:w="918" w:type="dxa"/>
        </w:tcPr>
        <w:p w:rsidR="00AA206B" w:rsidRDefault="006953DA">
          <w:pPr>
            <w:pStyle w:val="Footer"/>
            <w:jc w:val="right"/>
            <w:rPr>
              <w:b/>
              <w:color w:val="4F81BD" w:themeColor="accent1"/>
              <w:sz w:val="32"/>
              <w:szCs w:val="32"/>
            </w:rPr>
          </w:pPr>
          <w:fldSimple w:instr=" PAGE   \* MERGEFORMAT ">
            <w:r w:rsidR="001514B8" w:rsidRPr="001514B8">
              <w:rPr>
                <w:b/>
                <w:noProof/>
                <w:color w:val="4F81BD" w:themeColor="accent1"/>
                <w:sz w:val="32"/>
                <w:szCs w:val="32"/>
              </w:rPr>
              <w:t>2</w:t>
            </w:r>
          </w:fldSimple>
        </w:p>
      </w:tc>
      <w:tc>
        <w:tcPr>
          <w:tcW w:w="7938" w:type="dxa"/>
        </w:tcPr>
        <w:p w:rsidR="00AA206B" w:rsidRDefault="00AA206B">
          <w:pPr>
            <w:pStyle w:val="Footer"/>
          </w:pPr>
          <w:r>
            <w:t xml:space="preserve">©Simon Grange </w:t>
          </w:r>
          <w:r w:rsidRPr="00114EC8">
            <w:rPr>
              <w:i/>
            </w:rPr>
            <w:t>et al</w:t>
          </w:r>
        </w:p>
      </w:tc>
    </w:tr>
  </w:tbl>
  <w:p w:rsidR="00AA206B" w:rsidRDefault="00AA20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AF3" w:rsidRDefault="009B0AF3" w:rsidP="00114EC8">
      <w:pPr>
        <w:spacing w:after="0" w:line="240" w:lineRule="auto"/>
      </w:pPr>
      <w:r>
        <w:separator/>
      </w:r>
    </w:p>
  </w:footnote>
  <w:footnote w:type="continuationSeparator" w:id="0">
    <w:p w:rsidR="009B0AF3" w:rsidRDefault="009B0AF3" w:rsidP="00114E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03"/>
      <w:gridCol w:w="1153"/>
    </w:tblGrid>
    <w:tr w:rsidR="00AA206B">
      <w:trPr>
        <w:trHeight w:val="288"/>
      </w:trPr>
      <w:sdt>
        <w:sdtPr>
          <w:rPr>
            <w:sz w:val="20"/>
            <w:szCs w:val="36"/>
          </w:rPr>
          <w:alias w:val="Title"/>
          <w:id w:val="77761602"/>
          <w:placeholder>
            <w:docPart w:val="BCF2D5E363014B0B89004A463F88690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AA206B" w:rsidRDefault="00523897" w:rsidP="002C3290">
              <w:pPr>
                <w:pStyle w:val="Header"/>
                <w:jc w:val="center"/>
                <w:rPr>
                  <w:sz w:val="36"/>
                  <w:szCs w:val="36"/>
                </w:rPr>
              </w:pPr>
              <w:r>
                <w:rPr>
                  <w:sz w:val="20"/>
                  <w:szCs w:val="36"/>
                  <w:lang w:val="en-GB"/>
                </w:rPr>
                <w:t>Reducing potential nanotoxicity of orthopaedic implantable devices</w:t>
              </w:r>
            </w:p>
          </w:tc>
        </w:sdtContent>
      </w:sdt>
      <w:sdt>
        <w:sdtPr>
          <w:rPr>
            <w:b/>
            <w:bCs/>
            <w:color w:val="4F81BD" w:themeColor="accent1"/>
            <w:sz w:val="36"/>
            <w:szCs w:val="36"/>
          </w:rPr>
          <w:alias w:val="Year"/>
          <w:id w:val="77761609"/>
          <w:placeholder>
            <w:docPart w:val="2050000A4C904F71AAC6C92066CA55D7"/>
          </w:placeholder>
          <w:dataBinding w:prefixMappings="xmlns:ns0='http://schemas.microsoft.com/office/2006/coverPageProps'" w:xpath="/ns0:CoverPageProperties[1]/ns0:PublishDate[1]" w:storeItemID="{55AF091B-3C7A-41E3-B477-F2FDAA23CFDA}"/>
          <w:date w:fullDate="2012-05-07T00:00:00Z">
            <w:dateFormat w:val="yyyy"/>
            <w:lid w:val="en-US"/>
            <w:storeMappedDataAs w:val="dateTime"/>
            <w:calendar w:val="gregorian"/>
          </w:date>
        </w:sdtPr>
        <w:sdtContent>
          <w:tc>
            <w:tcPr>
              <w:tcW w:w="1105" w:type="dxa"/>
            </w:tcPr>
            <w:p w:rsidR="00AA206B" w:rsidRDefault="00AA206B">
              <w:pPr>
                <w:pStyle w:val="Header"/>
                <w:rPr>
                  <w:b/>
                  <w:bCs/>
                  <w:color w:val="4F81BD" w:themeColor="accent1"/>
                  <w:sz w:val="36"/>
                  <w:szCs w:val="36"/>
                </w:rPr>
              </w:pPr>
              <w:r>
                <w:rPr>
                  <w:b/>
                  <w:bCs/>
                  <w:color w:val="4F81BD" w:themeColor="accent1"/>
                  <w:sz w:val="36"/>
                  <w:szCs w:val="36"/>
                </w:rPr>
                <w:t>2012</w:t>
              </w:r>
            </w:p>
          </w:tc>
        </w:sdtContent>
      </w:sdt>
    </w:tr>
  </w:tbl>
  <w:p w:rsidR="00AA206B" w:rsidRDefault="00AA20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948BE"/>
    <w:multiLevelType w:val="multilevel"/>
    <w:tmpl w:val="CA60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
  <w:docVars>
    <w:docVar w:name="REFMGR.InstantFormat" w:val="&lt;ENInstantFormat&gt;&lt;Enabled&gt;1&lt;/Enabled&gt;&lt;ScanUnformatted&gt;1&lt;/ScanUnformatted&gt;&lt;ScanChanges&gt;1&lt;/ScanChanges&gt;&lt;/ENInstantFormat&gt;"/>
    <w:docVar w:name="REFMGR.Libraries" w:val="&lt;ENLibraries&gt;&lt;Libraries&gt;&lt;item&gt;Nanotech&lt;/item&gt;&lt;/Libraries&gt;&lt;/ENLibraries&gt;"/>
  </w:docVars>
  <w:rsids>
    <w:rsidRoot w:val="005954E0"/>
    <w:rsid w:val="000801E6"/>
    <w:rsid w:val="00114EC8"/>
    <w:rsid w:val="001514B8"/>
    <w:rsid w:val="001656D5"/>
    <w:rsid w:val="001851E5"/>
    <w:rsid w:val="00186A64"/>
    <w:rsid w:val="0019592A"/>
    <w:rsid w:val="001C1851"/>
    <w:rsid w:val="00244C9D"/>
    <w:rsid w:val="00282921"/>
    <w:rsid w:val="0029396F"/>
    <w:rsid w:val="002B5148"/>
    <w:rsid w:val="002C3290"/>
    <w:rsid w:val="003B5BE0"/>
    <w:rsid w:val="00402CA6"/>
    <w:rsid w:val="00410C4D"/>
    <w:rsid w:val="00440CE1"/>
    <w:rsid w:val="004530C1"/>
    <w:rsid w:val="00472AAD"/>
    <w:rsid w:val="00492318"/>
    <w:rsid w:val="004B5BFA"/>
    <w:rsid w:val="00512B38"/>
    <w:rsid w:val="00523897"/>
    <w:rsid w:val="00537852"/>
    <w:rsid w:val="00585153"/>
    <w:rsid w:val="005954E0"/>
    <w:rsid w:val="005A44DD"/>
    <w:rsid w:val="006145A1"/>
    <w:rsid w:val="006229C0"/>
    <w:rsid w:val="00651CD7"/>
    <w:rsid w:val="00660F34"/>
    <w:rsid w:val="006809D7"/>
    <w:rsid w:val="00685810"/>
    <w:rsid w:val="006953DA"/>
    <w:rsid w:val="006C1F3C"/>
    <w:rsid w:val="006D3468"/>
    <w:rsid w:val="0076068D"/>
    <w:rsid w:val="007E185F"/>
    <w:rsid w:val="00806F74"/>
    <w:rsid w:val="0080788E"/>
    <w:rsid w:val="008C3A7C"/>
    <w:rsid w:val="008D7909"/>
    <w:rsid w:val="008E50E2"/>
    <w:rsid w:val="008E6FE3"/>
    <w:rsid w:val="00901309"/>
    <w:rsid w:val="00952D2F"/>
    <w:rsid w:val="00960847"/>
    <w:rsid w:val="00966703"/>
    <w:rsid w:val="00991560"/>
    <w:rsid w:val="009B0AF3"/>
    <w:rsid w:val="009B4920"/>
    <w:rsid w:val="00A16A67"/>
    <w:rsid w:val="00A64000"/>
    <w:rsid w:val="00A6583A"/>
    <w:rsid w:val="00A821F0"/>
    <w:rsid w:val="00A94348"/>
    <w:rsid w:val="00A96F7F"/>
    <w:rsid w:val="00A97AD9"/>
    <w:rsid w:val="00AA206B"/>
    <w:rsid w:val="00AB42B8"/>
    <w:rsid w:val="00AD4AD7"/>
    <w:rsid w:val="00AE26E4"/>
    <w:rsid w:val="00AF1D09"/>
    <w:rsid w:val="00AF39B6"/>
    <w:rsid w:val="00B42F53"/>
    <w:rsid w:val="00B640A8"/>
    <w:rsid w:val="00B652DC"/>
    <w:rsid w:val="00BF0CC1"/>
    <w:rsid w:val="00C417F3"/>
    <w:rsid w:val="00C47594"/>
    <w:rsid w:val="00C640DB"/>
    <w:rsid w:val="00CD752F"/>
    <w:rsid w:val="00CE59C0"/>
    <w:rsid w:val="00D13D2E"/>
    <w:rsid w:val="00D40042"/>
    <w:rsid w:val="00DB1FFE"/>
    <w:rsid w:val="00DC0C0A"/>
    <w:rsid w:val="00E1377A"/>
    <w:rsid w:val="00E257C5"/>
    <w:rsid w:val="00E37D8A"/>
    <w:rsid w:val="00E410D0"/>
    <w:rsid w:val="00E81FC0"/>
    <w:rsid w:val="00E878D7"/>
    <w:rsid w:val="00E9655D"/>
    <w:rsid w:val="00EC5959"/>
    <w:rsid w:val="00EF3D42"/>
    <w:rsid w:val="00EF6BD3"/>
    <w:rsid w:val="00F30F1E"/>
    <w:rsid w:val="00F3231D"/>
    <w:rsid w:val="00F85F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7C"/>
  </w:style>
  <w:style w:type="paragraph" w:styleId="Heading1">
    <w:name w:val="heading 1"/>
    <w:basedOn w:val="Normal"/>
    <w:next w:val="Normal"/>
    <w:link w:val="Heading1Char"/>
    <w:uiPriority w:val="9"/>
    <w:qFormat/>
    <w:rsid w:val="005954E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5954E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5954E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5954E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5954E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5954E0"/>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5954E0"/>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5954E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954E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54E0"/>
  </w:style>
  <w:style w:type="character" w:customStyle="1" w:styleId="Heading1Char">
    <w:name w:val="Heading 1 Char"/>
    <w:basedOn w:val="DefaultParagraphFont"/>
    <w:link w:val="Heading1"/>
    <w:uiPriority w:val="9"/>
    <w:rsid w:val="005954E0"/>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5954E0"/>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5954E0"/>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5954E0"/>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5954E0"/>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5954E0"/>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5954E0"/>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5954E0"/>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5954E0"/>
    <w:rPr>
      <w:rFonts w:eastAsiaTheme="majorEastAsia" w:cstheme="majorBidi"/>
      <w:i/>
      <w:iCs/>
      <w:caps/>
      <w:spacing w:val="10"/>
      <w:sz w:val="20"/>
      <w:szCs w:val="20"/>
    </w:rPr>
  </w:style>
  <w:style w:type="paragraph" w:styleId="Caption">
    <w:name w:val="caption"/>
    <w:basedOn w:val="Normal"/>
    <w:next w:val="Normal"/>
    <w:uiPriority w:val="35"/>
    <w:unhideWhenUsed/>
    <w:qFormat/>
    <w:rsid w:val="005954E0"/>
    <w:rPr>
      <w:caps/>
      <w:spacing w:val="10"/>
      <w:sz w:val="18"/>
      <w:szCs w:val="18"/>
    </w:rPr>
  </w:style>
  <w:style w:type="paragraph" w:styleId="Title">
    <w:name w:val="Title"/>
    <w:basedOn w:val="Normal"/>
    <w:next w:val="Normal"/>
    <w:link w:val="TitleChar"/>
    <w:uiPriority w:val="10"/>
    <w:qFormat/>
    <w:rsid w:val="005954E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5954E0"/>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5954E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5954E0"/>
    <w:rPr>
      <w:rFonts w:eastAsiaTheme="majorEastAsia" w:cstheme="majorBidi"/>
      <w:caps/>
      <w:spacing w:val="20"/>
      <w:sz w:val="18"/>
      <w:szCs w:val="18"/>
    </w:rPr>
  </w:style>
  <w:style w:type="character" w:styleId="Strong">
    <w:name w:val="Strong"/>
    <w:uiPriority w:val="22"/>
    <w:qFormat/>
    <w:rsid w:val="005954E0"/>
    <w:rPr>
      <w:b/>
      <w:bCs/>
      <w:color w:val="943634" w:themeColor="accent2" w:themeShade="BF"/>
      <w:spacing w:val="5"/>
    </w:rPr>
  </w:style>
  <w:style w:type="character" w:styleId="Emphasis">
    <w:name w:val="Emphasis"/>
    <w:uiPriority w:val="20"/>
    <w:qFormat/>
    <w:rsid w:val="005954E0"/>
    <w:rPr>
      <w:caps/>
      <w:spacing w:val="5"/>
      <w:sz w:val="20"/>
      <w:szCs w:val="20"/>
    </w:rPr>
  </w:style>
  <w:style w:type="paragraph" w:styleId="NoSpacing">
    <w:name w:val="No Spacing"/>
    <w:basedOn w:val="Normal"/>
    <w:link w:val="NoSpacingChar"/>
    <w:uiPriority w:val="1"/>
    <w:qFormat/>
    <w:rsid w:val="005954E0"/>
    <w:pPr>
      <w:spacing w:after="0" w:line="240" w:lineRule="auto"/>
    </w:pPr>
  </w:style>
  <w:style w:type="character" w:customStyle="1" w:styleId="NoSpacingChar">
    <w:name w:val="No Spacing Char"/>
    <w:basedOn w:val="DefaultParagraphFont"/>
    <w:link w:val="NoSpacing"/>
    <w:uiPriority w:val="1"/>
    <w:rsid w:val="005954E0"/>
  </w:style>
  <w:style w:type="paragraph" w:styleId="ListParagraph">
    <w:name w:val="List Paragraph"/>
    <w:basedOn w:val="Normal"/>
    <w:uiPriority w:val="34"/>
    <w:qFormat/>
    <w:rsid w:val="005954E0"/>
    <w:pPr>
      <w:ind w:left="720"/>
      <w:contextualSpacing/>
    </w:pPr>
  </w:style>
  <w:style w:type="paragraph" w:styleId="Quote">
    <w:name w:val="Quote"/>
    <w:basedOn w:val="Normal"/>
    <w:next w:val="Normal"/>
    <w:link w:val="QuoteChar"/>
    <w:uiPriority w:val="29"/>
    <w:qFormat/>
    <w:rsid w:val="005954E0"/>
    <w:rPr>
      <w:i/>
      <w:iCs/>
    </w:rPr>
  </w:style>
  <w:style w:type="character" w:customStyle="1" w:styleId="QuoteChar">
    <w:name w:val="Quote Char"/>
    <w:basedOn w:val="DefaultParagraphFont"/>
    <w:link w:val="Quote"/>
    <w:uiPriority w:val="29"/>
    <w:rsid w:val="005954E0"/>
    <w:rPr>
      <w:rFonts w:eastAsiaTheme="majorEastAsia" w:cstheme="majorBidi"/>
      <w:i/>
      <w:iCs/>
    </w:rPr>
  </w:style>
  <w:style w:type="paragraph" w:styleId="IntenseQuote">
    <w:name w:val="Intense Quote"/>
    <w:basedOn w:val="Normal"/>
    <w:next w:val="Normal"/>
    <w:link w:val="IntenseQuoteChar"/>
    <w:uiPriority w:val="30"/>
    <w:qFormat/>
    <w:rsid w:val="005954E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5954E0"/>
    <w:rPr>
      <w:rFonts w:eastAsiaTheme="majorEastAsia" w:cstheme="majorBidi"/>
      <w:caps/>
      <w:color w:val="622423" w:themeColor="accent2" w:themeShade="7F"/>
      <w:spacing w:val="5"/>
      <w:sz w:val="20"/>
      <w:szCs w:val="20"/>
    </w:rPr>
  </w:style>
  <w:style w:type="character" w:styleId="SubtleEmphasis">
    <w:name w:val="Subtle Emphasis"/>
    <w:uiPriority w:val="19"/>
    <w:qFormat/>
    <w:rsid w:val="005954E0"/>
    <w:rPr>
      <w:i/>
      <w:iCs/>
    </w:rPr>
  </w:style>
  <w:style w:type="character" w:styleId="IntenseEmphasis">
    <w:name w:val="Intense Emphasis"/>
    <w:uiPriority w:val="21"/>
    <w:qFormat/>
    <w:rsid w:val="005954E0"/>
    <w:rPr>
      <w:i/>
      <w:iCs/>
      <w:caps/>
      <w:spacing w:val="10"/>
      <w:sz w:val="20"/>
      <w:szCs w:val="20"/>
    </w:rPr>
  </w:style>
  <w:style w:type="character" w:styleId="SubtleReference">
    <w:name w:val="Subtle Reference"/>
    <w:basedOn w:val="DefaultParagraphFont"/>
    <w:uiPriority w:val="31"/>
    <w:qFormat/>
    <w:rsid w:val="005954E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5954E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5954E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5954E0"/>
    <w:pPr>
      <w:outlineLvl w:val="9"/>
    </w:pPr>
  </w:style>
  <w:style w:type="character" w:styleId="CommentReference">
    <w:name w:val="annotation reference"/>
    <w:basedOn w:val="DefaultParagraphFont"/>
    <w:uiPriority w:val="99"/>
    <w:semiHidden/>
    <w:unhideWhenUsed/>
    <w:rsid w:val="00A96F7F"/>
    <w:rPr>
      <w:sz w:val="16"/>
      <w:szCs w:val="16"/>
    </w:rPr>
  </w:style>
  <w:style w:type="paragraph" w:styleId="CommentText">
    <w:name w:val="annotation text"/>
    <w:basedOn w:val="Normal"/>
    <w:link w:val="CommentTextChar"/>
    <w:uiPriority w:val="99"/>
    <w:semiHidden/>
    <w:unhideWhenUsed/>
    <w:rsid w:val="00A96F7F"/>
    <w:pPr>
      <w:autoSpaceDE w:val="0"/>
      <w:autoSpaceDN w:val="0"/>
      <w:adjustRightInd w:val="0"/>
      <w:spacing w:after="0" w:line="240" w:lineRule="auto"/>
      <w:jc w:val="both"/>
    </w:pPr>
    <w:rPr>
      <w:rFonts w:ascii="Times New Roman" w:eastAsiaTheme="minorEastAsia" w:hAnsi="Times New Roman" w:cs="Times New Roman"/>
      <w:noProof/>
      <w:sz w:val="20"/>
      <w:szCs w:val="20"/>
      <w:lang w:val="en-GB" w:eastAsia="en-GB" w:bidi="ar-SA"/>
    </w:rPr>
  </w:style>
  <w:style w:type="character" w:customStyle="1" w:styleId="CommentTextChar">
    <w:name w:val="Comment Text Char"/>
    <w:basedOn w:val="DefaultParagraphFont"/>
    <w:link w:val="CommentText"/>
    <w:uiPriority w:val="99"/>
    <w:semiHidden/>
    <w:rsid w:val="00A96F7F"/>
    <w:rPr>
      <w:rFonts w:ascii="Times New Roman" w:eastAsiaTheme="minorEastAsia" w:hAnsi="Times New Roman" w:cs="Times New Roman"/>
      <w:noProof/>
      <w:sz w:val="20"/>
      <w:szCs w:val="20"/>
      <w:lang w:val="en-GB" w:eastAsia="en-GB" w:bidi="ar-SA"/>
    </w:rPr>
  </w:style>
  <w:style w:type="paragraph" w:styleId="BalloonText">
    <w:name w:val="Balloon Text"/>
    <w:basedOn w:val="Normal"/>
    <w:link w:val="BalloonTextChar"/>
    <w:uiPriority w:val="99"/>
    <w:semiHidden/>
    <w:unhideWhenUsed/>
    <w:rsid w:val="00A96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7F"/>
    <w:rPr>
      <w:rFonts w:ascii="Tahoma" w:hAnsi="Tahoma" w:cs="Tahoma"/>
      <w:sz w:val="16"/>
      <w:szCs w:val="16"/>
    </w:rPr>
  </w:style>
  <w:style w:type="table" w:styleId="TableGrid">
    <w:name w:val="Table Grid"/>
    <w:basedOn w:val="TableNormal"/>
    <w:uiPriority w:val="59"/>
    <w:rsid w:val="006D3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
    <w:name w:val="Light Shading"/>
    <w:basedOn w:val="TableNormal"/>
    <w:uiPriority w:val="60"/>
    <w:rsid w:val="006D34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2B5148"/>
    <w:pPr>
      <w:autoSpaceDE/>
      <w:autoSpaceDN/>
      <w:adjustRightInd/>
      <w:spacing w:after="200"/>
      <w:jc w:val="left"/>
    </w:pPr>
    <w:rPr>
      <w:rFonts w:asciiTheme="majorHAnsi" w:eastAsiaTheme="majorEastAsia" w:hAnsiTheme="majorHAnsi" w:cstheme="majorBidi"/>
      <w:b/>
      <w:bCs/>
      <w:noProof w:val="0"/>
      <w:lang w:val="en-US" w:eastAsia="en-US" w:bidi="en-US"/>
    </w:rPr>
  </w:style>
  <w:style w:type="character" w:customStyle="1" w:styleId="CommentSubjectChar">
    <w:name w:val="Comment Subject Char"/>
    <w:basedOn w:val="CommentTextChar"/>
    <w:link w:val="CommentSubject"/>
    <w:uiPriority w:val="99"/>
    <w:semiHidden/>
    <w:rsid w:val="002B5148"/>
    <w:rPr>
      <w:b/>
      <w:bCs/>
    </w:rPr>
  </w:style>
  <w:style w:type="table" w:customStyle="1" w:styleId="ColorfulGrid">
    <w:name w:val="Colorful Grid"/>
    <w:basedOn w:val="TableNormal"/>
    <w:uiPriority w:val="73"/>
    <w:rsid w:val="00E257C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
    <w:name w:val="Medium Grid 2"/>
    <w:basedOn w:val="TableNormal"/>
    <w:uiPriority w:val="68"/>
    <w:rsid w:val="00E257C5"/>
    <w:pPr>
      <w:spacing w:after="0" w:line="240" w:lineRule="auto"/>
    </w:pPr>
    <w:rPr>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Header">
    <w:name w:val="header"/>
    <w:basedOn w:val="Normal"/>
    <w:link w:val="HeaderChar"/>
    <w:uiPriority w:val="99"/>
    <w:unhideWhenUsed/>
    <w:rsid w:val="00114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EC8"/>
  </w:style>
  <w:style w:type="paragraph" w:styleId="Footer">
    <w:name w:val="footer"/>
    <w:basedOn w:val="Normal"/>
    <w:link w:val="FooterChar"/>
    <w:uiPriority w:val="99"/>
    <w:unhideWhenUsed/>
    <w:rsid w:val="00114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EC8"/>
  </w:style>
  <w:style w:type="paragraph" w:styleId="NormalWeb">
    <w:name w:val="Normal (Web)"/>
    <w:basedOn w:val="Normal"/>
    <w:uiPriority w:val="99"/>
    <w:unhideWhenUsed/>
    <w:rsid w:val="001851E5"/>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table" w:styleId="MediumList1">
    <w:name w:val="Medium List 1"/>
    <w:basedOn w:val="TableNormal"/>
    <w:uiPriority w:val="65"/>
    <w:rsid w:val="00512B3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04699959">
      <w:bodyDiv w:val="1"/>
      <w:marLeft w:val="0"/>
      <w:marRight w:val="0"/>
      <w:marTop w:val="0"/>
      <w:marBottom w:val="0"/>
      <w:divBdr>
        <w:top w:val="none" w:sz="0" w:space="0" w:color="auto"/>
        <w:left w:val="none" w:sz="0" w:space="0" w:color="auto"/>
        <w:bottom w:val="none" w:sz="0" w:space="0" w:color="auto"/>
        <w:right w:val="none" w:sz="0" w:space="0" w:color="auto"/>
      </w:divBdr>
    </w:div>
    <w:div w:id="12937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F2D5E363014B0B89004A463F886905"/>
        <w:category>
          <w:name w:val="General"/>
          <w:gallery w:val="placeholder"/>
        </w:category>
        <w:types>
          <w:type w:val="bbPlcHdr"/>
        </w:types>
        <w:behaviors>
          <w:behavior w:val="content"/>
        </w:behaviors>
        <w:guid w:val="{B88198A2-2ADA-42EB-ACA5-FBE43D55BEE4}"/>
      </w:docPartPr>
      <w:docPartBody>
        <w:p w:rsidR="007D1D3C" w:rsidRDefault="007D1D3C" w:rsidP="007D1D3C">
          <w:pPr>
            <w:pStyle w:val="BCF2D5E363014B0B89004A463F886905"/>
          </w:pPr>
          <w:r>
            <w:rPr>
              <w:rFonts w:asciiTheme="majorHAnsi" w:eastAsiaTheme="majorEastAsia" w:hAnsiTheme="majorHAnsi" w:cstheme="majorBidi"/>
              <w:sz w:val="36"/>
              <w:szCs w:val="36"/>
            </w:rPr>
            <w:t>[Type the document title]</w:t>
          </w:r>
        </w:p>
      </w:docPartBody>
    </w:docPart>
    <w:docPart>
      <w:docPartPr>
        <w:name w:val="2050000A4C904F71AAC6C92066CA55D7"/>
        <w:category>
          <w:name w:val="General"/>
          <w:gallery w:val="placeholder"/>
        </w:category>
        <w:types>
          <w:type w:val="bbPlcHdr"/>
        </w:types>
        <w:behaviors>
          <w:behavior w:val="content"/>
        </w:behaviors>
        <w:guid w:val="{C73B593D-C8D6-48AF-B8A8-57F50F7FBCC5}"/>
      </w:docPartPr>
      <w:docPartBody>
        <w:p w:rsidR="007D1D3C" w:rsidRDefault="007D1D3C" w:rsidP="007D1D3C">
          <w:pPr>
            <w:pStyle w:val="2050000A4C904F71AAC6C92066CA55D7"/>
          </w:pPr>
          <w:r>
            <w:rPr>
              <w:rFonts w:asciiTheme="majorHAnsi" w:eastAsiaTheme="majorEastAsia" w:hAnsiTheme="majorHAnsi" w:cstheme="majorBidi"/>
              <w:b/>
              <w:bCs/>
              <w:color w:val="4F81BD" w:themeColor="accent1"/>
              <w:sz w:val="36"/>
              <w:szCs w:val="36"/>
            </w:rPr>
            <w:t>[Year]</w:t>
          </w:r>
        </w:p>
      </w:docPartBody>
    </w:docPart>
    <w:docPart>
      <w:docPartPr>
        <w:name w:val="D466F7B020E646F6B8AB4EF0572E3E36"/>
        <w:category>
          <w:name w:val="General"/>
          <w:gallery w:val="placeholder"/>
        </w:category>
        <w:types>
          <w:type w:val="bbPlcHdr"/>
        </w:types>
        <w:behaviors>
          <w:behavior w:val="content"/>
        </w:behaviors>
        <w:guid w:val="{29B0BD29-14B9-4F2F-B70E-BCE7BDBD346D}"/>
      </w:docPartPr>
      <w:docPartBody>
        <w:p w:rsidR="00CF4BFB" w:rsidRDefault="007D1D3C" w:rsidP="007D1D3C">
          <w:pPr>
            <w:pStyle w:val="D466F7B020E646F6B8AB4EF0572E3E36"/>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D1D3C"/>
    <w:rsid w:val="007D1D3C"/>
    <w:rsid w:val="00CF4B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0BDB5B33474E3A876EF22584329922">
    <w:name w:val="F40BDB5B33474E3A876EF22584329922"/>
    <w:rsid w:val="007D1D3C"/>
  </w:style>
  <w:style w:type="paragraph" w:customStyle="1" w:styleId="2093D17356864E138AF22DDE76D1B734">
    <w:name w:val="2093D17356864E138AF22DDE76D1B734"/>
    <w:rsid w:val="007D1D3C"/>
  </w:style>
  <w:style w:type="paragraph" w:customStyle="1" w:styleId="9507CA5318464DEDBA1F164EDBDF6417">
    <w:name w:val="9507CA5318464DEDBA1F164EDBDF6417"/>
    <w:rsid w:val="007D1D3C"/>
  </w:style>
  <w:style w:type="paragraph" w:customStyle="1" w:styleId="155D2EE5F5E8460DB8335DA27BF96949">
    <w:name w:val="155D2EE5F5E8460DB8335DA27BF96949"/>
    <w:rsid w:val="007D1D3C"/>
  </w:style>
  <w:style w:type="paragraph" w:customStyle="1" w:styleId="9B5DA0BAB58C4840BFA38BE2A5FB07EB">
    <w:name w:val="9B5DA0BAB58C4840BFA38BE2A5FB07EB"/>
    <w:rsid w:val="007D1D3C"/>
  </w:style>
  <w:style w:type="paragraph" w:customStyle="1" w:styleId="3AC1CBBB15324222B6ABBD1F156F5478">
    <w:name w:val="3AC1CBBB15324222B6ABBD1F156F5478"/>
    <w:rsid w:val="007D1D3C"/>
  </w:style>
  <w:style w:type="paragraph" w:customStyle="1" w:styleId="64BC4C87C24A40DBA8A5A54D32EF31AB">
    <w:name w:val="64BC4C87C24A40DBA8A5A54D32EF31AB"/>
    <w:rsid w:val="007D1D3C"/>
  </w:style>
  <w:style w:type="paragraph" w:customStyle="1" w:styleId="28AC501527FF4B8E81EB063AB796AE45">
    <w:name w:val="28AC501527FF4B8E81EB063AB796AE45"/>
    <w:rsid w:val="007D1D3C"/>
  </w:style>
  <w:style w:type="paragraph" w:customStyle="1" w:styleId="F0146EC95A704CD796ACD1C013554DFE">
    <w:name w:val="F0146EC95A704CD796ACD1C013554DFE"/>
    <w:rsid w:val="007D1D3C"/>
  </w:style>
  <w:style w:type="paragraph" w:customStyle="1" w:styleId="BCF2D5E363014B0B89004A463F886905">
    <w:name w:val="BCF2D5E363014B0B89004A463F886905"/>
    <w:rsid w:val="007D1D3C"/>
  </w:style>
  <w:style w:type="paragraph" w:customStyle="1" w:styleId="2050000A4C904F71AAC6C92066CA55D7">
    <w:name w:val="2050000A4C904F71AAC6C92066CA55D7"/>
    <w:rsid w:val="007D1D3C"/>
  </w:style>
  <w:style w:type="paragraph" w:customStyle="1" w:styleId="D466F7B020E646F6B8AB4EF0572E3E36">
    <w:name w:val="D466F7B020E646F6B8AB4EF0572E3E36"/>
    <w:rsid w:val="007D1D3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2012-05-07T00:00:00</PublishDate>
  <Abstract> Integrating data services across the spectrum of the life sciences illustrates the design and development of novel therapies in terms of Translational Research (TR) paths. The aim is to build an ‘open’ registry from multiple centres by allow for open archiving of key characteristics of materials used in the preparation of implantable devices.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2383</Words>
  <Characters>13586</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Reducing the nanotechnology risk of implantable medical devices through global registration</vt:lpstr>
      <vt:lpstr>&lt;Reducing potential nanotoxicity of orthopaedic implantable devices&gt; </vt:lpstr>
    </vt:vector>
  </TitlesOfParts>
  <Company>ABJHI.com</Company>
  <LinksUpToDate>false</LinksUpToDate>
  <CharactersWithSpaces>15938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potential nanotoxicity of orthopaedic implantable devices</dc:title>
  <dc:subject>Kris Chettiar, Mateen Arestu, Peter Smitham, Simon Grange</dc:subject>
  <dc:creator>Simon Grange</dc:creator>
  <cp:lastModifiedBy>Simon Grange</cp:lastModifiedBy>
  <cp:revision>2</cp:revision>
  <cp:lastPrinted>2012-05-22T15:41:00Z</cp:lastPrinted>
  <dcterms:created xsi:type="dcterms:W3CDTF">2012-05-22T15:55:00Z</dcterms:created>
  <dcterms:modified xsi:type="dcterms:W3CDTF">2012-05-22T15:55:00Z</dcterms:modified>
</cp:coreProperties>
</file>