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Search Hedge to Retrieve Studies Related to Musicians and Musical Instruments the ProQuest Dissertations and Theses Global Database</w:t>
      </w:r>
    </w:p>
    <w:p w:rsidR="00000000" w:rsidDel="00000000" w:rsidP="00000000" w:rsidRDefault="00000000" w:rsidRPr="00000000" w14:paraId="00000002">
      <w:pPr>
        <w:jc w:val="center"/>
        <w:rPr>
          <w:rFonts w:ascii="Arial" w:cs="Arial" w:eastAsia="Arial" w:hAnsi="Arial"/>
          <w:b w:val="1"/>
          <w:color w:val="222222"/>
          <w:sz w:val="20"/>
          <w:szCs w:val="20"/>
          <w:highlight w:val="whit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highlight w:val="white"/>
          <w:u w:val="none"/>
          <w:vertAlign w:val="superscript"/>
        </w:rPr>
      </w:pPr>
      <w:r w:rsidDel="00000000" w:rsidR="00000000" w:rsidRPr="00000000">
        <w:rPr>
          <w:rFonts w:ascii="Arial" w:cs="Arial" w:eastAsia="Arial" w:hAnsi="Arial"/>
          <w:b w:val="1"/>
          <w:sz w:val="20"/>
          <w:szCs w:val="20"/>
          <w:highlight w:val="white"/>
          <w:rtl w:val="0"/>
        </w:rPr>
        <w:t xml:space="preserve">Sean C. Borle and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Sandy Campbell</w:t>
      </w:r>
      <w:r w:rsidDel="00000000" w:rsidR="00000000" w:rsidRPr="00000000">
        <w:rPr>
          <w:rFonts w:ascii="Arial" w:cs="Arial" w:eastAsia="Arial" w:hAnsi="Arial"/>
          <w:b w:val="1"/>
          <w:i w:val="0"/>
          <w:smallCaps w:val="0"/>
          <w:strike w:val="0"/>
          <w:color w:val="000000"/>
          <w:sz w:val="20"/>
          <w:szCs w:val="20"/>
          <w:highlight w:val="white"/>
          <w:u w:val="none"/>
          <w:vertAlign w:val="superscript"/>
          <w:rtl w:val="0"/>
        </w:rPr>
        <w:t xml:space="preserve">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0a0905"/>
          <w:sz w:val="20"/>
          <w:szCs w:val="20"/>
          <w:highlight w:val="white"/>
        </w:rPr>
      </w:pPr>
      <w:r w:rsidDel="00000000" w:rsidR="00000000" w:rsidRPr="00000000">
        <w:rPr>
          <w:rFonts w:ascii="Arial" w:cs="Arial" w:eastAsia="Arial" w:hAnsi="Arial"/>
          <w:b w:val="1"/>
          <w:color w:val="222222"/>
          <w:sz w:val="20"/>
          <w:szCs w:val="20"/>
          <w:rtl w:val="0"/>
        </w:rPr>
        <w:t xml:space="preserve">Copy and paste into the ProQuest  search box: </w:t>
      </w:r>
      <w:r w:rsidDel="00000000" w:rsidR="00000000" w:rsidRPr="00000000">
        <w:rPr>
          <w:rtl w:val="0"/>
        </w:rPr>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(Musician* or Flautist* or cellist* or keyboardist* or keytarist* or organist or organists or fiddler* or conguera* or conguero* or drummer* or percussionist* or instrumentalist* or pipers  or accordion* or alphorn* or alpenhorn* or "alpine horn" or Bagpipe* or Balalaika or (Bandura* not (Bandura* NEAR/4 ("self efficacy" or theor*))) or Banjo* or Bariton*  or Bassoon* or Berimbau or Bongo or Bongos or "Boom whacker" or boomwhacker* or Bouzouki* or Bugle* or Cello or Cellos or "Chapman Stick" or Cimbalom or Clarinet* or Clave or  Clavichord or Concertina* or (Conga not glycemi*) or Contrabass* or "Cor anglais" or Cornet* or Cymbal or Cymbals or Didgeridoo* or Djembe or "Double bass" or Drum or Drums or Dulcimer* or Euphoni* or Fiddle or Fiddles or (Fife not Scotland) or Fifes or Flute or Flutes or Flugelhorn* or "French horn" or Fujara or Glockenspiel* or (Guira not cuckoo*) or Guiro or  Guitar or Guitars or Harmonica* or Harmonium* or Harpsichord* or "Hurdy gurdy" or Jew's harp* or Kalimba* or Lute or Lutes or Lyre* or Mandolin* or Maraca or Maracas or Marimba* or Melodica* or Oboe or Oboes or Ocarina* or Octobass* or ((Pan or Parlour or Uilleann or Organ or Organs) NEAR/2 Pipe*) or Pennywhistle* or Piano or Pianos or Piccolo* or Pungi* or  Saxophone* or Sitar* or Sousaphone* or Spinet or Svirel or Tambourine* or Timbale* or Timpani* or "Tin Whistle" or Tinwhistle* or Trombon* or Trumpet* or Theremin* or Tuba or Tubas or Tumbadora or Ukulele* or Vibraphone or ((Viola or Violas) not (oil or oils or oderata or violet*)) or (Violin* not plot*) or Whamola* or Woodwind* or "Wood wind" or "Wood Winds" or Xylophone* or Zeusaphone or Zither* or ((music or musical or harp or harps or recorder or recorders or tuba or tubas) NEAR/3 (performer* or artist* or player* or student* or teacher* or instructor*)) not (“NHS Fife” or “in Fife”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Note:  </w:t>
      </w:r>
    </w:p>
    <w:p w:rsidR="00000000" w:rsidDel="00000000" w:rsidP="00000000" w:rsidRDefault="00000000" w:rsidRPr="00000000" w14:paraId="0000000B">
      <w:pPr>
        <w:rPr>
          <w:sz w:val="24"/>
          <w:szCs w:val="24"/>
        </w:rPr>
      </w:pPr>
      <w:r w:rsidDel="00000000" w:rsidR="00000000" w:rsidRPr="00000000">
        <w:rPr>
          <w:sz w:val="24"/>
          <w:szCs w:val="24"/>
          <w:rtl w:val="0"/>
        </w:rPr>
        <w:t xml:space="preserve">This hedge retrieves both the instrument and the musician, with the expectation that the hedge will be combined in ProQuest Dissertations and Theses Global with some aspect of health (diagnosis, etiology, prognosis, therapy, economics, etc.).</w:t>
      </w:r>
    </w:p>
    <w:p w:rsidR="00000000" w:rsidDel="00000000" w:rsidP="00000000" w:rsidRDefault="00000000" w:rsidRPr="00000000" w14:paraId="0000000C">
      <w:pPr>
        <w:rPr>
          <w:sz w:val="24"/>
          <w:szCs w:val="24"/>
        </w:rPr>
      </w:pPr>
      <w:r w:rsidDel="00000000" w:rsidR="00000000" w:rsidRPr="00000000">
        <w:rPr>
          <w:sz w:val="24"/>
          <w:szCs w:val="24"/>
          <w:rtl w:val="0"/>
        </w:rPr>
        <w:t xml:space="preserve">This hedge also retrieves items related to music therapy.  These can be removed by searching the following and removing the results from those retrieved by the search above;</w:t>
      </w:r>
    </w:p>
    <w:p w:rsidR="00000000" w:rsidDel="00000000" w:rsidP="00000000" w:rsidRDefault="00000000" w:rsidRPr="00000000" w14:paraId="0000000D">
      <w:pPr>
        <w:rPr>
          <w:color w:val="0a0905"/>
          <w:sz w:val="24"/>
          <w:szCs w:val="24"/>
        </w:rPr>
      </w:pPr>
      <w:r w:rsidDel="00000000" w:rsidR="00000000" w:rsidRPr="00000000">
        <w:rPr>
          <w:color w:val="0a0905"/>
          <w:sz w:val="24"/>
          <w:szCs w:val="24"/>
          <w:rtl w:val="0"/>
        </w:rPr>
        <w:t xml:space="preserve">(art therapy/ or music therapy/) or ((music or musical) adj3 (intervention* or therap*))</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Cite as:  </w:t>
      </w:r>
    </w:p>
    <w:p w:rsidR="00000000" w:rsidDel="00000000" w:rsidP="00000000" w:rsidRDefault="00000000" w:rsidRPr="00000000" w14:paraId="00000010">
      <w:pPr>
        <w:rPr>
          <w:sz w:val="24"/>
          <w:szCs w:val="24"/>
        </w:rPr>
      </w:pPr>
      <w:r w:rsidDel="00000000" w:rsidR="00000000" w:rsidRPr="00000000">
        <w:rPr>
          <w:sz w:val="24"/>
          <w:szCs w:val="24"/>
          <w:rtl w:val="0"/>
        </w:rPr>
        <w:t xml:space="preserve">Borle, Sean C. and Sandy Campbell. </w:t>
      </w:r>
      <w:r w:rsidDel="00000000" w:rsidR="00000000" w:rsidRPr="00000000">
        <w:rPr>
          <w:color w:val="222222"/>
          <w:sz w:val="24"/>
          <w:szCs w:val="24"/>
          <w:highlight w:val="white"/>
          <w:rtl w:val="0"/>
        </w:rPr>
        <w:t xml:space="preserve"> Search Hedge to Retrieve Studies Related to Musicians and Musical Instruments in the ProQuest Dissertations and Theses Global Database.  </w:t>
      </w:r>
      <w:r w:rsidDel="00000000" w:rsidR="00000000" w:rsidRPr="00000000">
        <w:rPr>
          <w:sz w:val="24"/>
          <w:szCs w:val="24"/>
          <w:rtl w:val="0"/>
        </w:rPr>
        <w:t xml:space="preserve">John W. Scott Health Sciences Library, University of Alberta.  Rev. February 18, 2021.  </w:t>
      </w:r>
      <w:hyperlink r:id="rId6">
        <w:r w:rsidDel="00000000" w:rsidR="00000000" w:rsidRPr="00000000">
          <w:rPr>
            <w:color w:val="1155cc"/>
            <w:sz w:val="24"/>
            <w:szCs w:val="24"/>
            <w:u w:val="single"/>
            <w:rtl w:val="0"/>
          </w:rPr>
          <w:t xml:space="preserve">https://docs.google.com/document/d/1pjVjSp7Gs-pruSGdaRFLgmpLSruL4Xp69PNB-n6IgKQ/edit</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Contact for questions or improvements: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vertAlign w:val="superscript"/>
          <w:rtl w:val="0"/>
        </w:rPr>
        <w:t xml:space="preserve">1</w:t>
      </w:r>
      <w:r w:rsidDel="00000000" w:rsidR="00000000" w:rsidRPr="00000000">
        <w:rPr>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Edmonton, AB</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Canada</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T6H 5L8</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780-492-7915</w:t>
      </w:r>
    </w:p>
    <w:p w:rsidR="00000000" w:rsidDel="00000000" w:rsidP="00000000" w:rsidRDefault="00000000" w:rsidRPr="00000000" w14:paraId="0000001A">
      <w:pPr>
        <w:rPr>
          <w:sz w:val="24"/>
          <w:szCs w:val="24"/>
        </w:rPr>
      </w:pPr>
      <w:hyperlink r:id="rId7">
        <w:r w:rsidDel="00000000" w:rsidR="00000000" w:rsidRPr="00000000">
          <w:rPr>
            <w:color w:val="0563c1"/>
            <w:sz w:val="24"/>
            <w:szCs w:val="24"/>
            <w:u w:val="single"/>
            <w:rtl w:val="0"/>
          </w:rPr>
          <w:t xml:space="preserve">sandy.campbell@ualberta.ca</w:t>
        </w:r>
      </w:hyperlink>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pjVjSp7Gs-pruSGdaRFLgmpLSruL4Xp69PNB-n6IgKQ/edit" TargetMode="External"/><Relationship Id="rId7"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