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BB4" w:rsidRPr="00665E75" w:rsidRDefault="00750BB4" w:rsidP="00750BB4">
      <w:pPr>
        <w:spacing w:line="360" w:lineRule="auto"/>
        <w:jc w:val="center"/>
        <w:rPr>
          <w:rFonts w:ascii="Arial" w:hAnsi="Arial" w:cs="Arial"/>
          <w:b/>
          <w:bCs/>
          <w:sz w:val="28"/>
          <w:szCs w:val="28"/>
        </w:rPr>
      </w:pPr>
      <w:bookmarkStart w:id="0" w:name="_Hlk90037872"/>
      <w:r>
        <w:rPr>
          <w:rFonts w:ascii="Arial" w:hAnsi="Arial" w:cs="Arial"/>
          <w:b/>
          <w:bCs/>
          <w:sz w:val="28"/>
          <w:szCs w:val="28"/>
        </w:rPr>
        <w:t>TENTATIVENESS IN THE MATHEMATICS CLASSROOM: TWO CASES OF THE HAND AS A LANDING SITE</w:t>
      </w:r>
    </w:p>
    <w:p w:rsidR="00750BB4" w:rsidRPr="00665E75" w:rsidRDefault="00750BB4" w:rsidP="00750BB4">
      <w:pPr>
        <w:spacing w:line="480" w:lineRule="auto"/>
        <w:jc w:val="center"/>
        <w:rPr>
          <w:rFonts w:ascii="Arial" w:hAnsi="Arial" w:cs="Arial"/>
          <w:sz w:val="28"/>
          <w:szCs w:val="28"/>
        </w:rPr>
      </w:pPr>
    </w:p>
    <w:p w:rsidR="00750BB4" w:rsidRPr="00665E75" w:rsidRDefault="00750BB4" w:rsidP="00750BB4">
      <w:pPr>
        <w:spacing w:line="480" w:lineRule="auto"/>
        <w:jc w:val="center"/>
        <w:rPr>
          <w:rFonts w:ascii="Arial" w:hAnsi="Arial" w:cs="Arial"/>
          <w:b/>
          <w:bCs/>
          <w:sz w:val="28"/>
          <w:szCs w:val="28"/>
        </w:rPr>
      </w:pPr>
      <w:r w:rsidRPr="00665E75">
        <w:rPr>
          <w:rFonts w:ascii="Arial" w:hAnsi="Arial" w:cs="Arial"/>
          <w:b/>
          <w:bCs/>
          <w:sz w:val="28"/>
          <w:szCs w:val="28"/>
        </w:rPr>
        <w:t>Josh Markle</w:t>
      </w:r>
    </w:p>
    <w:p w:rsidR="00750BB4" w:rsidRPr="00665E75" w:rsidRDefault="00750BB4" w:rsidP="00750BB4">
      <w:pPr>
        <w:jc w:val="center"/>
        <w:rPr>
          <w:rFonts w:ascii="Arial" w:eastAsia="Times New Roman" w:hAnsi="Arial" w:cs="Arial"/>
          <w:sz w:val="28"/>
          <w:szCs w:val="28"/>
        </w:rPr>
      </w:pPr>
      <w:r>
        <w:rPr>
          <w:rFonts w:ascii="Arial" w:eastAsia="Times New Roman" w:hAnsi="Arial" w:cs="Arial"/>
          <w:sz w:val="28"/>
          <w:szCs w:val="28"/>
        </w:rPr>
        <w:t>University of Alberta</w:t>
      </w:r>
    </w:p>
    <w:p w:rsidR="00750BB4" w:rsidRPr="00665E75" w:rsidRDefault="00750BB4" w:rsidP="00750BB4">
      <w:pPr>
        <w:spacing w:line="480" w:lineRule="auto"/>
        <w:jc w:val="center"/>
        <w:rPr>
          <w:rFonts w:ascii="Arial" w:hAnsi="Arial" w:cs="Arial"/>
          <w:sz w:val="28"/>
          <w:szCs w:val="28"/>
        </w:rPr>
      </w:pPr>
      <w:r w:rsidRPr="00665E75">
        <w:rPr>
          <w:rFonts w:ascii="Arial" w:eastAsia="Times New Roman" w:hAnsi="Arial" w:cs="Arial"/>
          <w:sz w:val="28"/>
          <w:szCs w:val="28"/>
        </w:rPr>
        <w:t>jmarkle@u</w:t>
      </w:r>
      <w:r>
        <w:rPr>
          <w:rFonts w:ascii="Arial" w:eastAsia="Times New Roman" w:hAnsi="Arial" w:cs="Arial"/>
          <w:sz w:val="28"/>
          <w:szCs w:val="28"/>
        </w:rPr>
        <w:t>alberta</w:t>
      </w:r>
      <w:r w:rsidRPr="00665E75">
        <w:rPr>
          <w:rFonts w:ascii="Arial" w:eastAsia="Times New Roman" w:hAnsi="Arial" w:cs="Arial"/>
          <w:sz w:val="28"/>
          <w:szCs w:val="28"/>
        </w:rPr>
        <w:t>.ca</w:t>
      </w:r>
    </w:p>
    <w:bookmarkEnd w:id="0"/>
    <w:p w:rsidR="00750BB4" w:rsidRDefault="00750BB4" w:rsidP="00750BB4">
      <w:pPr>
        <w:spacing w:line="480" w:lineRule="auto"/>
        <w:jc w:val="center"/>
        <w:rPr>
          <w:rFonts w:eastAsia="Times New Roman"/>
        </w:rPr>
      </w:pPr>
    </w:p>
    <w:p w:rsidR="00750BB4" w:rsidRDefault="00750BB4" w:rsidP="00750BB4">
      <w:pPr>
        <w:rPr>
          <w:b/>
          <w:bCs/>
        </w:rPr>
      </w:pPr>
    </w:p>
    <w:p w:rsidR="00656710" w:rsidRPr="000045A1" w:rsidRDefault="004E0580" w:rsidP="00750BB4">
      <w:pPr>
        <w:spacing w:line="480" w:lineRule="auto"/>
        <w:jc w:val="center"/>
        <w:rPr>
          <w:b/>
          <w:bCs/>
        </w:rPr>
      </w:pPr>
      <w:r>
        <w:rPr>
          <w:b/>
          <w:bCs/>
        </w:rPr>
        <w:t>Introduction</w:t>
      </w:r>
    </w:p>
    <w:p w:rsidR="00B2405D" w:rsidRDefault="007D2926" w:rsidP="007D2926">
      <w:pPr>
        <w:spacing w:line="480" w:lineRule="auto"/>
      </w:pPr>
      <w:r>
        <w:tab/>
      </w:r>
      <w:r w:rsidR="00C56363">
        <w:t xml:space="preserve">In this </w:t>
      </w:r>
      <w:r w:rsidR="002828B6">
        <w:t>paper</w:t>
      </w:r>
      <w:r w:rsidR="00C56363">
        <w:t xml:space="preserve">, I </w:t>
      </w:r>
      <w:r w:rsidR="00681EAD">
        <w:t>explore</w:t>
      </w:r>
      <w:r w:rsidR="008A1E03">
        <w:t xml:space="preserve"> the</w:t>
      </w:r>
      <w:r w:rsidR="00C56363">
        <w:t xml:space="preserve"> notion of </w:t>
      </w:r>
      <w:r w:rsidR="00C56363" w:rsidRPr="00C56363">
        <w:rPr>
          <w:i/>
          <w:iCs/>
        </w:rPr>
        <w:t>tentativeness</w:t>
      </w:r>
      <w:r w:rsidR="00A129C7">
        <w:rPr>
          <w:i/>
          <w:iCs/>
        </w:rPr>
        <w:t xml:space="preserve"> </w:t>
      </w:r>
      <w:r w:rsidR="00681EAD">
        <w:t xml:space="preserve">in knowing and doing mathematics. </w:t>
      </w:r>
      <w:r w:rsidR="00A91AA2">
        <w:t xml:space="preserve">In the context of experiencing the built environment, Barons (2008) describes tentativeness as </w:t>
      </w:r>
      <w:r w:rsidR="004A5367">
        <w:t>a means of “complexifying one’s perceptual encounter with the environment” (p. 334</w:t>
      </w:r>
      <w:proofErr w:type="gramStart"/>
      <w:r w:rsidR="004A5367">
        <w:t>)</w:t>
      </w:r>
      <w:r w:rsidR="00C56363">
        <w:t>.</w:t>
      </w:r>
      <w:r w:rsidR="00A91AA2">
        <w:t>With</w:t>
      </w:r>
      <w:proofErr w:type="gramEnd"/>
      <w:r w:rsidR="00A91AA2">
        <w:t xml:space="preserve"> respect to knowing and doing mathematics, it can also be interpreted as a both an instance of skillful know-how and as an affordance students may act on in their problem-solving (Markle, 2022). In the present study, </w:t>
      </w:r>
      <w:r w:rsidR="0013360F">
        <w:t xml:space="preserve">I take up this idea </w:t>
      </w:r>
      <w:r w:rsidR="00A91AA2">
        <w:t xml:space="preserve">of tentativeness </w:t>
      </w:r>
      <w:r w:rsidR="00C06676">
        <w:t>by drawing on</w:t>
      </w:r>
      <w:r w:rsidR="00717E9A">
        <w:t xml:space="preserve">Samuel Todes’s </w:t>
      </w:r>
      <w:r w:rsidR="00FB4312">
        <w:t xml:space="preserve">(2001) </w:t>
      </w:r>
      <w:r w:rsidR="00717E9A">
        <w:t>work on perception and embodied cognition</w:t>
      </w:r>
      <w:r w:rsidR="00A837F1">
        <w:t xml:space="preserve">, on the one hand, and Gins and Arakawa’s (2002) notion of </w:t>
      </w:r>
      <w:r w:rsidR="00A837F1" w:rsidRPr="00A837F1">
        <w:rPr>
          <w:i/>
          <w:iCs/>
        </w:rPr>
        <w:t>landing sites</w:t>
      </w:r>
      <w:r w:rsidR="00A837F1">
        <w:t>, on the other, to analyze two episodes of problem solving in the mathematics classroom.</w:t>
      </w:r>
      <w:r w:rsidR="008A1E03">
        <w:t xml:space="preserve"> Through my analysis, I offer </w:t>
      </w:r>
      <w:r w:rsidR="003D53B7">
        <w:t xml:space="preserve">two provocations. One is that the notion of a landing site can be an interpretive aid in understanding how students come to know and do mathematics in the classroom. In this work, I choose to focus on the hand as a landing site. The second provocation involves the conceptualization of </w:t>
      </w:r>
      <w:r w:rsidR="008A1E03">
        <w:t xml:space="preserve">tentativeness as both a viable strategy for mathematical problem solving and as part of the affordance space, </w:t>
      </w:r>
      <w:r w:rsidR="007F3866">
        <w:t xml:space="preserve">which educators can </w:t>
      </w:r>
      <w:r w:rsidR="002828B6">
        <w:t xml:space="preserve">use </w:t>
      </w:r>
      <w:r w:rsidR="007F3866">
        <w:t>to develop conceptual understanding.</w:t>
      </w:r>
      <w:r w:rsidR="00A129C7">
        <w:t xml:space="preserve"> </w:t>
      </w:r>
      <w:proofErr w:type="gramStart"/>
      <w:r w:rsidR="00681EAD">
        <w:t>Conceptualizing</w:t>
      </w:r>
      <w:proofErr w:type="gramEnd"/>
      <w:r w:rsidR="003D53B7">
        <w:t xml:space="preserve"> the hand as a landing site, I describe some ways individuals use the</w:t>
      </w:r>
      <w:r w:rsidR="00681EAD">
        <w:t>ir</w:t>
      </w:r>
      <w:r w:rsidR="003D53B7">
        <w:t xml:space="preserve"> hand</w:t>
      </w:r>
      <w:r w:rsidR="00681EAD">
        <w:t>s</w:t>
      </w:r>
      <w:r w:rsidR="003D53B7">
        <w:t xml:space="preserve"> to site tentativeness in their problem solving.</w:t>
      </w:r>
    </w:p>
    <w:p w:rsidR="00E609DD" w:rsidRDefault="00E609DD" w:rsidP="00750BB4">
      <w:pPr>
        <w:spacing w:line="480" w:lineRule="auto"/>
        <w:jc w:val="center"/>
        <w:rPr>
          <w:b/>
          <w:bCs/>
        </w:rPr>
      </w:pPr>
      <w:r w:rsidRPr="001622B2">
        <w:rPr>
          <w:b/>
          <w:bCs/>
        </w:rPr>
        <w:lastRenderedPageBreak/>
        <w:t xml:space="preserve">Theoretical </w:t>
      </w:r>
      <w:r w:rsidR="004E0580">
        <w:rPr>
          <w:b/>
          <w:bCs/>
        </w:rPr>
        <w:t xml:space="preserve">and Philosophical </w:t>
      </w:r>
      <w:r w:rsidRPr="001622B2">
        <w:rPr>
          <w:b/>
          <w:bCs/>
        </w:rPr>
        <w:t>Framework</w:t>
      </w:r>
      <w:r w:rsidR="004E0580">
        <w:rPr>
          <w:b/>
          <w:bCs/>
        </w:rPr>
        <w:t>s</w:t>
      </w:r>
    </w:p>
    <w:p w:rsidR="004E0580" w:rsidRPr="00A91AA2" w:rsidRDefault="004E0580" w:rsidP="00A91AA2">
      <w:pPr>
        <w:spacing w:line="480" w:lineRule="auto"/>
      </w:pPr>
      <w:r>
        <w:tab/>
      </w:r>
      <w:r w:rsidR="00F37A70">
        <w:t>I draw</w:t>
      </w:r>
      <w:r w:rsidR="00A747BF">
        <w:t xml:space="preserve"> on the </w:t>
      </w:r>
      <w:r w:rsidR="00F37A70">
        <w:t>principles</w:t>
      </w:r>
      <w:r w:rsidR="00A747BF">
        <w:t xml:space="preserve"> of enactivism, a theory which posits cognition as an emergent phenomenon arising out of interactions between organisms and the environment. Enactivism is one of several prominent theories of embodied cognition that push back on notions of representation-based </w:t>
      </w:r>
      <w:r w:rsidR="00F37A70">
        <w:t xml:space="preserve">models of perception and learning (e.g., cognitivism). I also draw on two additional sources </w:t>
      </w:r>
      <w:r w:rsidR="003A533F">
        <w:t>of philosophical and methodological guidance</w:t>
      </w:r>
      <w:r w:rsidR="002653D2">
        <w:t xml:space="preserve">. First, I incorporate the ideas of the philosopher Samuel Todes, in particular his notions of </w:t>
      </w:r>
      <w:r w:rsidR="002653D2" w:rsidRPr="009B2FAE">
        <w:rPr>
          <w:i/>
          <w:iCs/>
        </w:rPr>
        <w:t>poise</w:t>
      </w:r>
      <w:r w:rsidR="002653D2">
        <w:t xml:space="preserve"> and </w:t>
      </w:r>
      <w:r w:rsidR="002653D2" w:rsidRPr="009B2FAE">
        <w:rPr>
          <w:i/>
          <w:iCs/>
        </w:rPr>
        <w:t>sensuous abstraction</w:t>
      </w:r>
      <w:r w:rsidR="002653D2">
        <w:t xml:space="preserve"> (Todes, 200</w:t>
      </w:r>
      <w:r w:rsidR="000968EF">
        <w:t>1</w:t>
      </w:r>
      <w:r w:rsidR="002653D2">
        <w:t>). Second, I use Gins and Arakawa’s</w:t>
      </w:r>
      <w:r w:rsidR="003A533F">
        <w:t xml:space="preserve"> (2002)</w:t>
      </w:r>
      <w:r w:rsidR="002653D2">
        <w:t xml:space="preserve"> concept of landing sites to identify and describe moments of tentativeness in </w:t>
      </w:r>
      <w:r w:rsidR="003A533F">
        <w:t>the mathematics classroom.</w:t>
      </w:r>
      <w:r w:rsidR="00BA69E3">
        <w:t xml:space="preserve"> I take up each of these ideas in turn in the remainder of this section.</w:t>
      </w:r>
    </w:p>
    <w:p w:rsidR="00781972" w:rsidRDefault="00DD776E" w:rsidP="007D2926">
      <w:pPr>
        <w:spacing w:line="480" w:lineRule="auto"/>
      </w:pPr>
      <w:r>
        <w:tab/>
      </w:r>
      <w:r w:rsidR="008A4D0B">
        <w:t>In the last twenty years, theories of embodiment have become prominent in mathematics education research (e.g., Radford, 2014; Roth &amp; Thom, 2009; Nemirovsky &amp; Ferrara, 2009; de Freitas &amp; Sinclair, 201</w:t>
      </w:r>
      <w:r w:rsidR="007B6374">
        <w:t>4</w:t>
      </w:r>
      <w:r w:rsidR="008A4D0B">
        <w:t xml:space="preserve">; Abrahamson, 2009). Moreover, enactivism, a theory of embodied cognition, has been a considerable source of insight and provocation in the teaching and learning of mathematics (e.g., Davis, 1996; Towers &amp; Martin, 2015; Proulx, 2019; see Reid (2014) for one perspective on the history of enactive thought in mathematics education). </w:t>
      </w:r>
      <w:r w:rsidR="00BA69E3">
        <w:t>E</w:t>
      </w:r>
      <w:r w:rsidR="008A4D0B">
        <w:t xml:space="preserve">nactivism is a theory in which cognition emerges from interactions between organisms and the environment. In contrast to cognitivism, in which cognition is seen to reside in the brain, enactivism posits cognition to take place outside </w:t>
      </w:r>
      <w:r w:rsidR="00332EB2">
        <w:t xml:space="preserve">the boundaries </w:t>
      </w:r>
      <w:r w:rsidR="008A4D0B">
        <w:t>of our skin and in the interactions between bodies and the environment. Our minds are thus an enmeshing of perception, cognition, and action</w:t>
      </w:r>
      <w:r w:rsidR="00BA69E3">
        <w:t xml:space="preserve"> in the environment</w:t>
      </w:r>
      <w:r w:rsidR="008A4D0B">
        <w:t xml:space="preserve">. </w:t>
      </w:r>
      <w:r w:rsidR="00BA69E3">
        <w:t>Below</w:t>
      </w:r>
      <w:r w:rsidR="008A4D0B">
        <w:t xml:space="preserve">, I set out two sets of ideas—Samuel Todes’s notions of poise and sensuous abstraction, on the one hand, and Gins and Arakawa’s notion of landing sites—in the </w:t>
      </w:r>
      <w:r w:rsidR="008A4D0B">
        <w:lastRenderedPageBreak/>
        <w:t>contex</w:t>
      </w:r>
      <w:r w:rsidR="00377E65">
        <w:t>t of enactivist thinking.</w:t>
      </w:r>
      <w:r w:rsidR="00BA69E3">
        <w:t xml:space="preserve"> Throughout, I make connections back to the idea of tentativeness in knowing and doing mathematics.</w:t>
      </w:r>
    </w:p>
    <w:p w:rsidR="00E80B60" w:rsidRPr="00387F48" w:rsidRDefault="00E80B60" w:rsidP="007D2926">
      <w:pPr>
        <w:spacing w:line="480" w:lineRule="auto"/>
      </w:pPr>
    </w:p>
    <w:p w:rsidR="00E609DD" w:rsidRPr="004C3DD2" w:rsidRDefault="00E609DD" w:rsidP="007D2926">
      <w:pPr>
        <w:spacing w:line="480" w:lineRule="auto"/>
        <w:rPr>
          <w:i/>
          <w:iCs/>
        </w:rPr>
      </w:pPr>
      <w:r w:rsidRPr="004C3DD2">
        <w:rPr>
          <w:i/>
          <w:iCs/>
        </w:rPr>
        <w:t>Poise and Sensuous Abstraction</w:t>
      </w:r>
    </w:p>
    <w:p w:rsidR="00211A52" w:rsidRDefault="001622B2" w:rsidP="00211A52">
      <w:pPr>
        <w:spacing w:line="480" w:lineRule="auto"/>
      </w:pPr>
      <w:r>
        <w:tab/>
      </w:r>
      <w:r w:rsidR="00211A52">
        <w:t xml:space="preserve">Enactivism is a prominent theoretical framework in mathematics education research (Reid &amp; Mgombelo, 1996; Towers &amp; Proulx, 2013; Davis, 1995). </w:t>
      </w:r>
      <w:r w:rsidR="00BA69E3">
        <w:t>In this theoretical framework, the</w:t>
      </w:r>
      <w:r w:rsidR="00211A52">
        <w:t xml:space="preserve"> learner is viewed as an autonomous organism that exercises “skillful know-how in situated and embodied action” (Thompson, 2007, p. 13). What might this view have to offer in </w:t>
      </w:r>
      <w:r w:rsidR="00BA69E3">
        <w:t xml:space="preserve">terms of </w:t>
      </w:r>
      <w:r w:rsidR="00211A52">
        <w:t xml:space="preserve">understanding the phenomenon of tentativeness in the mathematics classroom? How might tentative action be understood as an active, participatory engagement in bringing forth a world? To think more about what it means to be actively engaged in the world in a tentative way, I present a sketch of Samuel Todes’ notions of </w:t>
      </w:r>
      <w:r w:rsidR="00211A52" w:rsidRPr="005B78D0">
        <w:rPr>
          <w:i/>
          <w:iCs/>
        </w:rPr>
        <w:t>poise</w:t>
      </w:r>
      <w:r w:rsidR="00211A52">
        <w:t xml:space="preserve"> and </w:t>
      </w:r>
      <w:r w:rsidR="00211A52">
        <w:rPr>
          <w:i/>
          <w:iCs/>
        </w:rPr>
        <w:t>sensuous abstraction</w:t>
      </w:r>
      <w:r w:rsidR="00211A52">
        <w:t xml:space="preserve">. Todes’s </w:t>
      </w:r>
      <w:r w:rsidR="00000D46">
        <w:t>(2001) conception</w:t>
      </w:r>
      <w:r w:rsidR="00211A52">
        <w:t xml:space="preserve"> of poise offers a means of better understanding tentativeness in the mathematics classroom. </w:t>
      </w:r>
      <w:r w:rsidR="00000D46">
        <w:t xml:space="preserve">For </w:t>
      </w:r>
      <w:r w:rsidR="00211A52">
        <w:t xml:space="preserve">Todes (2001) poise </w:t>
      </w:r>
      <w:r w:rsidR="00000D46">
        <w:t>plays</w:t>
      </w:r>
      <w:r w:rsidR="00211A52">
        <w:t xml:space="preserve"> a constitutive role in how we experience the world: poise is “sensuous proof that the perceptual experience of our immediate future conforms to that of our immediate past, and without poise no determinate perception is possible” (p. 79). This is not to say that our perceptual experience is predictable or consistent. Rather, for Todes (2001), perception is the process by which we acquire what we need to be in the world. That is, it is the “determination of an object through an effective response that forms skill in the percipient” (Todes, 2001, p. 78). Perception is determinate in the sense that it meets an anticipated need, and for Todes, only what is anticipated can be perceived. Poise is how our whole, </w:t>
      </w:r>
      <w:r w:rsidR="00211A52" w:rsidRPr="002C7515">
        <w:t xml:space="preserve">active </w:t>
      </w:r>
      <w:r w:rsidR="00211A52">
        <w:t>body opens up onto the world and how, as Merleau-Ponty (2012) wrote, the world “announces itself within us” (p. 19).</w:t>
      </w:r>
    </w:p>
    <w:p w:rsidR="00211A52" w:rsidRDefault="00211A52" w:rsidP="00211A52">
      <w:pPr>
        <w:spacing w:line="480" w:lineRule="auto"/>
      </w:pPr>
      <w:r>
        <w:lastRenderedPageBreak/>
        <w:tab/>
        <w:t xml:space="preserve">In </w:t>
      </w:r>
      <w:r w:rsidRPr="00C874A7">
        <w:rPr>
          <w:i/>
        </w:rPr>
        <w:t>Body and World</w:t>
      </w:r>
      <w:r>
        <w:t xml:space="preserve"> (2001), Todes carefully and thoroughly distinguished this mode of being in the world from Enlightenment conceptions of bodily engagement. Hume, according to Todes (2001), saw the body as a “set of parts-outside-of-parts … no more than a curiously (inexplicably) animated corpse” (p. 46). But Todes argued that such a conception d</w:t>
      </w:r>
      <w:r w:rsidR="002E275E">
        <w:t>id</w:t>
      </w:r>
      <w:r>
        <w:t xml:space="preserve"> not reflect the lived experience of the body. The active body is one that is felt as a unity, that is coordinated, and that can cope skillfully with the objects in its experience (Todes, 2001, p. 46). And to cope with those objects, “we must be able to anticipate them before we reach them, or they us” (Todes, 2001, p. 46). This sort of anticipation is characteristic of the tentative approaches to the mathematics problem described below. In </w:t>
      </w:r>
      <w:r w:rsidR="002E275E">
        <w:t>bringing forth mathematical relationships through visualization</w:t>
      </w:r>
      <w:r>
        <w:t xml:space="preserve">, the participants in the </w:t>
      </w:r>
      <w:r w:rsidR="002E275E">
        <w:t>cases discussed below</w:t>
      </w:r>
      <w:r>
        <w:t xml:space="preserve"> enact a variety of strategies not necessarily to </w:t>
      </w:r>
      <w:r w:rsidRPr="0055627C">
        <w:rPr>
          <w:i/>
          <w:iCs/>
        </w:rPr>
        <w:t>solve</w:t>
      </w:r>
      <w:r>
        <w:t xml:space="preserve"> a problem, but to </w:t>
      </w:r>
      <w:r w:rsidRPr="0055627C">
        <w:rPr>
          <w:i/>
          <w:iCs/>
        </w:rPr>
        <w:t>qualify</w:t>
      </w:r>
      <w:r>
        <w:t xml:space="preserve"> it. In Todes’ (2001) sense, this skillful habit is poise, regardless of whether the problem is solved: “the success of poise is not in its execution, but in its very existence by which the body is, to begin with, knowingly in touch with the objects around it” (p. 66).</w:t>
      </w:r>
    </w:p>
    <w:p w:rsidR="004C3DD2" w:rsidRDefault="00211A52" w:rsidP="00211A52">
      <w:pPr>
        <w:spacing w:line="480" w:lineRule="auto"/>
      </w:pPr>
      <w:r>
        <w:tab/>
        <w:t xml:space="preserve">For Todes (2001), perception is the culmination of meeting an anticipated need, and we can only achieve perception in a state of poise. For example, we prepare ourselves to meet a need, say by orienting our body toward a coffee cup; we prepare the object to be perceived through our intentional attitude toward it; and our perception finds a determination in action, for example when we grasp the handle of the cup to drink from it. As Todes (2001) noted, “poise is lost as soon as anticipations cease being met as rapidly as they are made” (p. 72). But this is not an inexorable process. Indeed, Todes (2001) was clear that we are not enslaved to our anticipation or perception (p. 273). Todes (2001) thus introduced the notion of </w:t>
      </w:r>
      <w:r w:rsidRPr="001A27C7">
        <w:rPr>
          <w:i/>
        </w:rPr>
        <w:t>sensuous abstractio</w:t>
      </w:r>
      <w:r>
        <w:rPr>
          <w:i/>
        </w:rPr>
        <w:t>n</w:t>
      </w:r>
      <w:r>
        <w:t xml:space="preserve">, what he called a “mild, incomplete, and delicately controlled </w:t>
      </w:r>
      <w:r w:rsidRPr="00D65F8C">
        <w:rPr>
          <w:i/>
        </w:rPr>
        <w:t>inhibition</w:t>
      </w:r>
      <w:r>
        <w:t xml:space="preserve"> [emphasis </w:t>
      </w:r>
      <w:r>
        <w:lastRenderedPageBreak/>
        <w:t xml:space="preserve">added] of the perception of the particular object having the abstracted sense quality” (p. 272). That is, sensuous abstraction is a forestalling of perception. One must still retain poise—that is, one must remain in touch with others and the surrounding environment—but is able to delay the foreclosure of anticipation. Todes (2001) wrote that sensuous abstraction occurs “when the normally transient stage of anticipatory presence is maintained” (p. 275). Lewis (2013) called this </w:t>
      </w:r>
      <w:r w:rsidRPr="00453159">
        <w:rPr>
          <w:i/>
        </w:rPr>
        <w:t>perceptual hesitation</w:t>
      </w:r>
      <w:r>
        <w:t xml:space="preserve"> (p. 345). Perceptual hesitation, Lewis (2013) argued, can be seen as a “perception of the potentiality of perception itself” (p. 345). To put that in Todes’ terms, sensuous abstraction is a kind of skillful coping, a “skillfully inhibited perception … [in which] one becomes aware of </w:t>
      </w:r>
      <w:r w:rsidRPr="009672F1">
        <w:rPr>
          <w:i/>
        </w:rPr>
        <w:t xml:space="preserve">qualities </w:t>
      </w:r>
      <w:r>
        <w:t>rather than things” (p. 274, original emphasis).</w:t>
      </w:r>
      <w:r w:rsidR="002E275E">
        <w:t xml:space="preserve"> In Markle (2022), I conceived of tentativeness as entailing this </w:t>
      </w:r>
      <w:r w:rsidR="00551FC1">
        <w:t>state of sensuous abstraction. In the following section, I propose a means of locating it in the doing of mathematics.</w:t>
      </w:r>
    </w:p>
    <w:p w:rsidR="00E80B60" w:rsidRDefault="00E80B60" w:rsidP="00211A52">
      <w:pPr>
        <w:spacing w:line="480" w:lineRule="auto"/>
      </w:pPr>
    </w:p>
    <w:p w:rsidR="00000D46" w:rsidRPr="00000D46" w:rsidRDefault="00000D46" w:rsidP="00211A52">
      <w:pPr>
        <w:spacing w:line="480" w:lineRule="auto"/>
        <w:rPr>
          <w:i/>
          <w:iCs/>
        </w:rPr>
      </w:pPr>
      <w:r w:rsidRPr="00000D46">
        <w:rPr>
          <w:i/>
          <w:iCs/>
        </w:rPr>
        <w:t>Landing Sites</w:t>
      </w:r>
    </w:p>
    <w:p w:rsidR="00151D8F" w:rsidRDefault="00000D46" w:rsidP="00151D8F">
      <w:pPr>
        <w:spacing w:line="480" w:lineRule="auto"/>
      </w:pPr>
      <w:r>
        <w:tab/>
      </w:r>
      <w:r w:rsidR="000968EF">
        <w:t xml:space="preserve">In an attempt to focus on instances of </w:t>
      </w:r>
      <w:r w:rsidR="00551FC1">
        <w:t>tentativeness</w:t>
      </w:r>
      <w:r w:rsidR="000968EF">
        <w:t xml:space="preserve">, </w:t>
      </w:r>
      <w:r w:rsidR="00151D8F">
        <w:t xml:space="preserve">I use Gins and Arakawa’s (2002) notion of </w:t>
      </w:r>
      <w:r w:rsidR="00151D8F" w:rsidRPr="00AE3DDF">
        <w:rPr>
          <w:i/>
          <w:iCs/>
        </w:rPr>
        <w:t>landing sites</w:t>
      </w:r>
      <w:r w:rsidR="00151D8F">
        <w:t xml:space="preserve"> as a means of characterizing how </w:t>
      </w:r>
      <w:r w:rsidR="00551FC1">
        <w:t>it</w:t>
      </w:r>
      <w:r w:rsidR="00151D8F">
        <w:t xml:space="preserve"> emerges through situated action in a visualization exercise. A landing site is a heuristic. In fact, anything can be a landing site. In the classroom context, it could be the whiteboard at the front of the class, a manipulative, or a pen-and-paper math problem. In the discussion below, I designate the hand—through its pointing, grasping, touching and so on—as a landing site for foregrounding the role of tentativeness in problem solving. Landing sites are intimately tied to perception, and in fact align with Todes’s (200</w:t>
      </w:r>
      <w:r w:rsidR="000968EF">
        <w:t>1</w:t>
      </w:r>
      <w:r w:rsidR="00151D8F">
        <w:t xml:space="preserve">) notion of poise: “in fielding her surroundings,” noted Gins and Arakawa (2002), the perceiver “makes use of cues from the environment to assign volume and a host of particulars to </w:t>
      </w:r>
      <w:r w:rsidR="00151D8F">
        <w:lastRenderedPageBreak/>
        <w:t>world and to body…her fielding of her surroundings never ceases, continuing even in sleep” (p. 7). Anything occasioned in this field has the potential for being a landing site.</w:t>
      </w:r>
    </w:p>
    <w:p w:rsidR="00151D8F" w:rsidRDefault="00151D8F" w:rsidP="00151D8F">
      <w:pPr>
        <w:spacing w:line="480" w:lineRule="auto"/>
        <w:ind w:firstLine="720"/>
      </w:pPr>
      <w:r>
        <w:t xml:space="preserve">Gins and Arakawa introduce different types of landing sites: </w:t>
      </w:r>
      <w:r w:rsidRPr="001E07E1">
        <w:rPr>
          <w:i/>
          <w:iCs/>
        </w:rPr>
        <w:t>perceptual</w:t>
      </w:r>
      <w:r>
        <w:t xml:space="preserve">, </w:t>
      </w:r>
      <w:r w:rsidRPr="001E07E1">
        <w:rPr>
          <w:i/>
          <w:iCs/>
        </w:rPr>
        <w:t>imaging</w:t>
      </w:r>
      <w:r>
        <w:t xml:space="preserve">, and </w:t>
      </w:r>
      <w:r w:rsidRPr="001E07E1">
        <w:rPr>
          <w:i/>
          <w:iCs/>
        </w:rPr>
        <w:t>dimensionalizing</w:t>
      </w:r>
      <w:r>
        <w:t xml:space="preserve">. Any landing site has the capacity to be any of the three. Consistent with an enactive view, perceptual landing sites are linked to sensation: they are any “designated areas of specified activity, [and include the] visual, aural, tactile, olfactory, proprioceptive, kinesthetic, [and] somaesthetic” (Gins &amp; Arakawa, 2002, p. 10). When these kinds of landing sites come into being, they are recorded (e.g., I see a chair, the grass feels cool, etc.). Imaging landing sites bear a contrast in focus. While perceptual landing sites are concentrated as recorded phenomena, imaging landing sites are diffuse, manifesting as a “shifting-about patchwork of registerings and quasi-registerings” (Gins &amp; Arakawa, 2002, p. 12). To put this in Todes’s (2001) terms, imaging sites are </w:t>
      </w:r>
      <w:r w:rsidR="00804313">
        <w:t>potential sites</w:t>
      </w:r>
      <w:r>
        <w:t xml:space="preserve"> of sensuous abstraction, in which one notices the qualities of things. Finally, dimensionalizing landing sites are proposed as composites of perceptual and imaging landing sites. Again, to put this into Todes’s (2001) framework, dimensionalizing landing sites are akin to poise, states in which our anticipations and perceptions align.</w:t>
      </w:r>
    </w:p>
    <w:p w:rsidR="00151D8F" w:rsidRDefault="00151D8F" w:rsidP="00151D8F">
      <w:pPr>
        <w:spacing w:line="480" w:lineRule="auto"/>
        <w:ind w:firstLine="720"/>
      </w:pPr>
      <w:r>
        <w:t>In th</w:t>
      </w:r>
      <w:r w:rsidR="00551FC1">
        <w:t>e present work</w:t>
      </w:r>
      <w:r>
        <w:t xml:space="preserve">, I use only the concept of imaging landing sites. I do this in part to circumvent what I perceive as a feature in Gins and Arakawa’s work that is potentially inconsistent with an enactivist framework. One example of this is in their discussion of dimensionalizing landing sites, in which they describe the perceptual as “direct perception” and imaging as “indirect or imitative perception” (Gins &amp; Arakawa, 2002, p. 21). This description evokes, if not outright representational dualism, a distance between imaging and sensorimotor activity. In previous work, I have argued for the exactly the opposite: in an analysis of students’ embodied experiences in a spatial reasoning exercise, I interpreted their visualizations as </w:t>
      </w:r>
      <w:r>
        <w:lastRenderedPageBreak/>
        <w:t xml:space="preserve">sensorimotor, dependent on both the body’s movement (e.g., through gesture) and potential for movement (Markle, 2021). It is worth noting that </w:t>
      </w:r>
      <w:r w:rsidR="00804313">
        <w:t>Gins and Arakawa are not always obviously consistent in their own interpretations of imaging landing sites. In Architectural Body (2002), they</w:t>
      </w:r>
      <w:r>
        <w:t xml:space="preserve"> make a </w:t>
      </w:r>
      <w:r w:rsidR="00804313">
        <w:t>point similar to that of Markle (2021)</w:t>
      </w:r>
      <w:r>
        <w:t xml:space="preserve"> in their discussion of the blind mathematician, Karl Dahlke. Dahlke used visualization techniques to solve a complex pentomino tiling problem. As a blind person, Dahlke did not have the “direct access” characteristic of a perceptual landing site, which led Gins and Arakawa (2002) to suggest imaging as closely related to and enmeshed with </w:t>
      </w:r>
      <w:r w:rsidR="00804313">
        <w:t xml:space="preserve">direct </w:t>
      </w:r>
      <w:r>
        <w:t>perception (pp. 16-20).</w:t>
      </w:r>
      <w:r w:rsidR="00D23D71">
        <w:t xml:space="preserve"> This view is more consistent with an enactive view of perception and action.</w:t>
      </w:r>
    </w:p>
    <w:p w:rsidR="00151D8F" w:rsidRDefault="00D23D71" w:rsidP="00D23D71">
      <w:pPr>
        <w:spacing w:line="480" w:lineRule="auto"/>
        <w:ind w:firstLine="720"/>
      </w:pPr>
      <w:r>
        <w:t>Also, c</w:t>
      </w:r>
      <w:r w:rsidR="00151D8F">
        <w:t xml:space="preserve">onsistent with enactive thinking, Gins and Arakawa (2002) emphasized the emergent nature of cognition and experience. As situated and embodied beings, our “surroundings invite, provoke, and entice [us] to perform actions, and the enacting motions of these actions not only serve up alternate vantage points but also inevitably shift sense organs about” (p. 1). </w:t>
      </w:r>
      <w:r w:rsidR="00804313">
        <w:t>R</w:t>
      </w:r>
      <w:r w:rsidR="00151D8F">
        <w:t xml:space="preserve">esonant in this description of perceptual experience are the ideas found in </w:t>
      </w:r>
      <w:r w:rsidR="00804313">
        <w:t>varied</w:t>
      </w:r>
      <w:r w:rsidR="00151D8F">
        <w:t>theories of embodied cognition, such as ecological psychology (Gibson, 197</w:t>
      </w:r>
      <w:r w:rsidR="004C4499">
        <w:t>9</w:t>
      </w:r>
      <w:r w:rsidR="00151D8F">
        <w:t>). In fact, several prominent ecological psychologists have taken up these ideas (</w:t>
      </w:r>
      <w:r w:rsidR="00804313">
        <w:t xml:space="preserve">e.g., </w:t>
      </w:r>
      <w:r w:rsidR="00151D8F">
        <w:t>Baron, 2013). Ecological psychology and enactivism do indeed share common ground, but there are also substantial differences, and these have implications for how we interpret the learning and doing of mathematics.</w:t>
      </w:r>
    </w:p>
    <w:p w:rsidR="00151D8F" w:rsidRDefault="00151D8F" w:rsidP="00151D8F">
      <w:pPr>
        <w:spacing w:line="480" w:lineRule="auto"/>
      </w:pPr>
      <w:r>
        <w:tab/>
        <w:t xml:space="preserve">In Markle (2022), I suggested tentativeness as an affordance for students to act on in their problem posing and solving. The </w:t>
      </w:r>
      <w:r w:rsidR="00804313">
        <w:t xml:space="preserve">ontological </w:t>
      </w:r>
      <w:r>
        <w:t xml:space="preserve">nature of an affordance points to a key difference in the underlying principles of ecological psychology and enactivism. </w:t>
      </w:r>
      <w:r w:rsidR="00E743FC">
        <w:t xml:space="preserve">In the former, perceiving organisms are seen as directly involved in their environments via pre-existing affordances; that </w:t>
      </w:r>
      <w:r w:rsidR="00E743FC">
        <w:lastRenderedPageBreak/>
        <w:t xml:space="preserve">is, there is effectively no separation between organisms and the environment because affordances “point both ways” (Read &amp; Szokolszky, 2020). </w:t>
      </w:r>
      <w:r>
        <w:t>In the latter, affordances emerge out of the coupling between organisms and the environment, and the autonomy of the organism determines the set of possible affordances.</w:t>
      </w:r>
    </w:p>
    <w:p w:rsidR="00151D8F" w:rsidRDefault="00151D8F" w:rsidP="00151D8F">
      <w:pPr>
        <w:spacing w:line="480" w:lineRule="auto"/>
        <w:ind w:firstLine="720"/>
      </w:pPr>
      <w:r>
        <w:t xml:space="preserve">This is a key distinction, in particular for interpreting classroom activity. One important implication is the need to view the affordance space as an emergent set of potentials, not only a feature of the environment which elicits student action. I argue that the idea of an imaging landing site is consistent with the enactive view. In fact, according to Baron (2013), Gins and Arakawa continued to develop their idea of imaging landing sites in ways that made it more amenable to an enactivist perspective. They did </w:t>
      </w:r>
      <w:r w:rsidR="00D63AC2">
        <w:t>s</w:t>
      </w:r>
      <w:r>
        <w:t>o in at least two ways: (1) they emphasized the ongoing and instantaneous coupling taking place between an individual and the environment during the imaging process; and (2) they made explicit the role of the body in imaging, noting that it is a multimodal phenomenon that enlists the senses, such as touch (Baron, 2013, n.p.).</w:t>
      </w:r>
    </w:p>
    <w:p w:rsidR="00000D46" w:rsidRDefault="00151D8F" w:rsidP="00151D8F">
      <w:pPr>
        <w:spacing w:line="480" w:lineRule="auto"/>
        <w:ind w:firstLine="720"/>
      </w:pPr>
      <w:r>
        <w:t xml:space="preserve">As noted above, enactivism is predicated on the idea of autonomy, specifically that of autonomous agents, where autonomy describes a system that actively generates and sustains itself (Thompson, 2007). An autonomous system need not be a living one (as in an autopoietic system, for which the exemplar is a single-celled organism). Rather, for a system to be autonomous, its underlying processes must meet three criteria: they must be endogenous to the system, they must form a unity, and they must determine the sets of possible actions and affordances outside of the system (Thompson &amp; Stapleton, 2009). This last point is a key one for how I have interpreted the idea of a landing site. In this paper, I parse out imaging landing sites as an expository device, not to acknowledge them as features of the environment that are independent of experience. In an enactive framework, organisms define all possible actions in an </w:t>
      </w:r>
      <w:r>
        <w:lastRenderedPageBreak/>
        <w:t xml:space="preserve">environment. There is no organism-independent affordance. In this sense, a landing site is simply </w:t>
      </w:r>
      <w:r w:rsidRPr="00F65CA4">
        <w:rPr>
          <w:i/>
          <w:iCs/>
        </w:rPr>
        <w:t>a taking of note</w:t>
      </w:r>
      <w:r w:rsidR="00D23D71" w:rsidRPr="00D23D71">
        <w:t xml:space="preserve"> (Gins &amp; Arakawa, 2022)</w:t>
      </w:r>
      <w:r>
        <w:t>.</w:t>
      </w:r>
    </w:p>
    <w:p w:rsidR="00E80B60" w:rsidRDefault="00E80B60" w:rsidP="00151D8F">
      <w:pPr>
        <w:spacing w:line="480" w:lineRule="auto"/>
        <w:ind w:firstLine="720"/>
      </w:pPr>
    </w:p>
    <w:p w:rsidR="001A2C03" w:rsidRPr="001A2C03" w:rsidRDefault="001A2C03" w:rsidP="00750BB4">
      <w:pPr>
        <w:spacing w:line="480" w:lineRule="auto"/>
        <w:jc w:val="center"/>
        <w:rPr>
          <w:b/>
          <w:bCs/>
        </w:rPr>
      </w:pPr>
      <w:r w:rsidRPr="001A2C03">
        <w:rPr>
          <w:b/>
          <w:bCs/>
        </w:rPr>
        <w:t>The Hand as a Landing Site: T</w:t>
      </w:r>
      <w:r w:rsidR="00822324">
        <w:rPr>
          <w:b/>
          <w:bCs/>
        </w:rPr>
        <w:t>wo</w:t>
      </w:r>
      <w:r w:rsidRPr="001A2C03">
        <w:rPr>
          <w:b/>
          <w:bCs/>
        </w:rPr>
        <w:t xml:space="preserve"> Cases of </w:t>
      </w:r>
      <w:r w:rsidR="00542411">
        <w:rPr>
          <w:b/>
          <w:bCs/>
        </w:rPr>
        <w:t xml:space="preserve">Siting </w:t>
      </w:r>
      <w:r w:rsidRPr="001A2C03">
        <w:rPr>
          <w:b/>
          <w:bCs/>
        </w:rPr>
        <w:t>Tentativeness</w:t>
      </w:r>
    </w:p>
    <w:p w:rsidR="0019400B" w:rsidRDefault="0019400B" w:rsidP="007D2926">
      <w:pPr>
        <w:spacing w:line="480" w:lineRule="auto"/>
        <w:rPr>
          <w:rFonts w:eastAsia="Times New Roman"/>
          <w:color w:val="000000"/>
        </w:rPr>
      </w:pPr>
      <w:r>
        <w:tab/>
        <w:t xml:space="preserve">As noted in the discussion above, anything can be a landing </w:t>
      </w:r>
      <w:proofErr w:type="gramStart"/>
      <w:r>
        <w:t>site.</w:t>
      </w:r>
      <w:r w:rsidR="00D23D71">
        <w:t>For</w:t>
      </w:r>
      <w:proofErr w:type="gramEnd"/>
      <w:r w:rsidR="00D23D71">
        <w:t xml:space="preserve"> the present study, </w:t>
      </w:r>
      <w:r w:rsidR="009B4B13">
        <w:t>I have chosen to interpret how the hand is used as a landing site in the context of t</w:t>
      </w:r>
      <w:r w:rsidR="002156F2">
        <w:t>wo</w:t>
      </w:r>
      <w:r w:rsidR="009B4B13">
        <w:t xml:space="preserve"> case studies of students using spatial reasoning skills in mathematical problem solving.</w:t>
      </w:r>
      <w:r w:rsidR="007C5D77">
        <w:t xml:space="preserve"> The human hand has long been an object of fascination. The poet Rainer Maria Rilke, in his treatise on the sculptor Auguste Rodin, wrote that the “</w:t>
      </w:r>
      <w:r w:rsidR="007C5D77" w:rsidRPr="00F641C0">
        <w:rPr>
          <w:rFonts w:eastAsia="Times New Roman"/>
          <w:color w:val="000000"/>
        </w:rPr>
        <w:t>hands are a complicated organism, a delta into which many divergent streams of life rush together in order to pour themselves into the great storm of action</w:t>
      </w:r>
      <w:r w:rsidR="007C5D77">
        <w:rPr>
          <w:rFonts w:eastAsia="Times New Roman"/>
          <w:color w:val="000000"/>
        </w:rPr>
        <w:t>” (</w:t>
      </w:r>
      <w:r w:rsidR="00CC37CD">
        <w:rPr>
          <w:rFonts w:eastAsia="Times New Roman"/>
          <w:color w:val="000000"/>
        </w:rPr>
        <w:t>Rilke, 2014</w:t>
      </w:r>
      <w:r w:rsidR="007C5D77">
        <w:rPr>
          <w:rFonts w:eastAsia="Times New Roman"/>
          <w:color w:val="000000"/>
        </w:rPr>
        <w:t xml:space="preserve">). </w:t>
      </w:r>
      <w:r w:rsidR="00925F33">
        <w:rPr>
          <w:rFonts w:eastAsia="Times New Roman"/>
          <w:color w:val="000000"/>
        </w:rPr>
        <w:t xml:space="preserve">In his book </w:t>
      </w:r>
      <w:r w:rsidR="00925F33" w:rsidRPr="00925F33">
        <w:rPr>
          <w:rFonts w:eastAsia="Times New Roman"/>
          <w:i/>
          <w:iCs/>
          <w:color w:val="000000"/>
        </w:rPr>
        <w:t>The Hand</w:t>
      </w:r>
      <w:r w:rsidR="00925F33">
        <w:rPr>
          <w:rFonts w:eastAsia="Times New Roman"/>
          <w:color w:val="000000"/>
        </w:rPr>
        <w:t xml:space="preserve">, the neurologist Frank Wilson asserted that </w:t>
      </w:r>
      <w:r w:rsidR="005B3EB8">
        <w:rPr>
          <w:rFonts w:eastAsia="Times New Roman"/>
          <w:color w:val="000000"/>
        </w:rPr>
        <w:t>any account of human intelligence that fails to acknowledge the critical role of the hand would be “grossly misleading and sterile” (Wilson, 1998, p. 7). Of relevance to th</w:t>
      </w:r>
      <w:r w:rsidR="00F445DE">
        <w:rPr>
          <w:rFonts w:eastAsia="Times New Roman"/>
          <w:color w:val="000000"/>
        </w:rPr>
        <w:t>e present</w:t>
      </w:r>
      <w:r w:rsidR="005B3EB8">
        <w:rPr>
          <w:rFonts w:eastAsia="Times New Roman"/>
          <w:color w:val="000000"/>
        </w:rPr>
        <w:t xml:space="preserve"> study, the hand has also been taken up as a unit of analysis in mathematics education. </w:t>
      </w:r>
      <w:r w:rsidR="00886DC8">
        <w:rPr>
          <w:rFonts w:eastAsia="Times New Roman"/>
          <w:color w:val="000000"/>
        </w:rPr>
        <w:t xml:space="preserve">Kaanta (2012), for example, analyzed the role of embodied actions, such as pointing, in classroom interactions. Davis et al. (2022) investigated the relationship between pointing and dominant metaphors for teaching and learning in the classroom. </w:t>
      </w:r>
      <w:r w:rsidR="00F445DE">
        <w:rPr>
          <w:rFonts w:eastAsia="Times New Roman"/>
          <w:color w:val="000000"/>
        </w:rPr>
        <w:t>Here</w:t>
      </w:r>
      <w:r w:rsidR="00886DC8">
        <w:rPr>
          <w:rFonts w:eastAsia="Times New Roman"/>
          <w:color w:val="000000"/>
        </w:rPr>
        <w:t xml:space="preserve">, I propose the hand as a landing site, and </w:t>
      </w:r>
      <w:r w:rsidR="00ED75C7">
        <w:rPr>
          <w:rFonts w:eastAsia="Times New Roman"/>
          <w:color w:val="000000"/>
        </w:rPr>
        <w:t>describe</w:t>
      </w:r>
      <w:r w:rsidR="00886DC8">
        <w:rPr>
          <w:rFonts w:eastAsia="Times New Roman"/>
          <w:color w:val="000000"/>
        </w:rPr>
        <w:t xml:space="preserve"> how students in the math classroom use</w:t>
      </w:r>
      <w:r w:rsidR="00FA53DA">
        <w:rPr>
          <w:rFonts w:eastAsia="Times New Roman"/>
          <w:color w:val="000000"/>
        </w:rPr>
        <w:t>d their hands as sites of tentativeness.</w:t>
      </w:r>
    </w:p>
    <w:p w:rsidR="00E80B60" w:rsidRDefault="00E80B60" w:rsidP="007D2926">
      <w:pPr>
        <w:spacing w:line="480" w:lineRule="auto"/>
      </w:pPr>
    </w:p>
    <w:p w:rsidR="001A2C03" w:rsidRPr="009B4B13" w:rsidRDefault="0019400B" w:rsidP="007D2926">
      <w:pPr>
        <w:spacing w:line="480" w:lineRule="auto"/>
        <w:rPr>
          <w:i/>
          <w:iCs/>
        </w:rPr>
      </w:pPr>
      <w:r w:rsidRPr="009B4B13">
        <w:rPr>
          <w:i/>
          <w:iCs/>
        </w:rPr>
        <w:t xml:space="preserve">Case One: </w:t>
      </w:r>
      <w:r w:rsidR="00822324">
        <w:rPr>
          <w:i/>
          <w:iCs/>
        </w:rPr>
        <w:t>The Hand in Motion</w:t>
      </w:r>
    </w:p>
    <w:p w:rsidR="0019400B" w:rsidRPr="00594E11" w:rsidRDefault="00ED75C7" w:rsidP="007D2926">
      <w:pPr>
        <w:spacing w:line="480" w:lineRule="auto"/>
        <w:rPr>
          <w:color w:val="000000" w:themeColor="text1"/>
        </w:rPr>
      </w:pPr>
      <w:r>
        <w:tab/>
        <w:t>The first case focuses on a</w:t>
      </w:r>
      <w:r w:rsidR="00B81A1B">
        <w:t xml:space="preserve"> participant from a</w:t>
      </w:r>
      <w:r w:rsidR="00CA056A">
        <w:t xml:space="preserve">group of </w:t>
      </w:r>
      <w:r w:rsidR="000750F3">
        <w:t>undergraduate pre-service teacher candidates I worked with in a mathematics curriculum and instruction course</w:t>
      </w:r>
      <w:r w:rsidR="00D774F7">
        <w:t xml:space="preserve"> at a small western Canadian university</w:t>
      </w:r>
      <w:r w:rsidR="000750F3">
        <w:t xml:space="preserve">. I taught the class, which </w:t>
      </w:r>
      <w:r w:rsidR="00D774F7">
        <w:t>wa</w:t>
      </w:r>
      <w:r w:rsidR="000750F3">
        <w:t xml:space="preserve">s an elective available to all students majoring </w:t>
      </w:r>
      <w:r w:rsidR="000750F3">
        <w:lastRenderedPageBreak/>
        <w:t>in disciplines outside of mathematics. The data I present here was generated as part of a class activity focused on spatial visualization.</w:t>
      </w:r>
      <w:r w:rsidR="00D774F7">
        <w:t xml:space="preserve"> Students listened to verbal instructions </w:t>
      </w:r>
      <w:r w:rsidR="00377B76">
        <w:t>and used them to</w:t>
      </w:r>
      <w:r w:rsidR="00D774F7">
        <w:t xml:space="preserve">visualize the construction of some conic sections—circles, ellipses, parabolas, and hyperbolas—using points, lines, and circles. The exercise </w:t>
      </w:r>
      <w:r w:rsidR="002156F2">
        <w:t>wa</w:t>
      </w:r>
      <w:r w:rsidR="00D774F7">
        <w:t xml:space="preserve">s based off of J. L. Nicolet’s stop-motion animations and inspired by a similar exercise I took part in at the 2018 meeting of the Canadian Mathematics </w:t>
      </w:r>
      <w:r w:rsidR="00D774F7" w:rsidRPr="00594E11">
        <w:rPr>
          <w:color w:val="000000" w:themeColor="text1"/>
        </w:rPr>
        <w:t>Educators Study Group (</w:t>
      </w:r>
      <w:r w:rsidR="007B6374">
        <w:rPr>
          <w:color w:val="000000" w:themeColor="text1"/>
        </w:rPr>
        <w:t>Chorney et al., 2018</w:t>
      </w:r>
      <w:r w:rsidR="00D774F7" w:rsidRPr="00594E11">
        <w:rPr>
          <w:color w:val="000000" w:themeColor="text1"/>
        </w:rPr>
        <w:t>).</w:t>
      </w:r>
    </w:p>
    <w:p w:rsidR="00D774F7" w:rsidRPr="00594E11" w:rsidRDefault="00D774F7" w:rsidP="007D2926">
      <w:pPr>
        <w:spacing w:line="480" w:lineRule="auto"/>
        <w:rPr>
          <w:color w:val="000000" w:themeColor="text1"/>
        </w:rPr>
      </w:pPr>
      <w:r w:rsidRPr="00594E11">
        <w:rPr>
          <w:color w:val="000000" w:themeColor="text1"/>
        </w:rPr>
        <w:tab/>
        <w:t xml:space="preserve">Although I intended to conduct the exercise in person, the class in which this exercise occurred was held virtually due to COVID-19. </w:t>
      </w:r>
      <w:r w:rsidR="00594E11" w:rsidRPr="00594E11">
        <w:rPr>
          <w:color w:val="000000" w:themeColor="text1"/>
        </w:rPr>
        <w:t xml:space="preserve">The exercise involved four rounds, one for each of the conic sections listed above. In each round, students attempted to visualize what I was saying as I read </w:t>
      </w:r>
      <w:r w:rsidR="00D63AC2">
        <w:rPr>
          <w:color w:val="000000" w:themeColor="text1"/>
        </w:rPr>
        <w:t>a</w:t>
      </w:r>
      <w:r w:rsidR="00594E11" w:rsidRPr="00594E11">
        <w:rPr>
          <w:color w:val="000000" w:themeColor="text1"/>
        </w:rPr>
        <w:t xml:space="preserve"> script, respond</w:t>
      </w:r>
      <w:r w:rsidR="00B81A1B">
        <w:rPr>
          <w:color w:val="000000" w:themeColor="text1"/>
        </w:rPr>
        <w:t>ed</w:t>
      </w:r>
      <w:r w:rsidR="00594E11" w:rsidRPr="00594E11">
        <w:rPr>
          <w:color w:val="000000" w:themeColor="text1"/>
        </w:rPr>
        <w:t xml:space="preserve"> in a particular way (e.g., through gesture, speech, or drawing)</w:t>
      </w:r>
      <w:r w:rsidR="00B81A1B">
        <w:rPr>
          <w:color w:val="000000" w:themeColor="text1"/>
        </w:rPr>
        <w:t xml:space="preserve"> and </w:t>
      </w:r>
      <w:r w:rsidR="00377B76">
        <w:rPr>
          <w:color w:val="000000" w:themeColor="text1"/>
        </w:rPr>
        <w:t>submit</w:t>
      </w:r>
      <w:r w:rsidR="00B81A1B">
        <w:rPr>
          <w:color w:val="000000" w:themeColor="text1"/>
        </w:rPr>
        <w:t>ted</w:t>
      </w:r>
      <w:r w:rsidR="00377B76">
        <w:rPr>
          <w:color w:val="000000" w:themeColor="text1"/>
        </w:rPr>
        <w:t xml:space="preserve"> photos or short video recordings of their responses via an online platform</w:t>
      </w:r>
      <w:r w:rsidR="00B81A1B">
        <w:rPr>
          <w:color w:val="000000" w:themeColor="text1"/>
        </w:rPr>
        <w:t>, then watched a corresponding animation (Nicolet, 2007)</w:t>
      </w:r>
      <w:r w:rsidR="00594E11" w:rsidRPr="00594E11">
        <w:rPr>
          <w:color w:val="000000" w:themeColor="text1"/>
        </w:rPr>
        <w:t>. After the fourth round of</w:t>
      </w:r>
      <w:r w:rsidR="00B81A1B">
        <w:rPr>
          <w:color w:val="000000" w:themeColor="text1"/>
        </w:rPr>
        <w:t xml:space="preserve"> the exercise</w:t>
      </w:r>
      <w:r w:rsidR="00594E11" w:rsidRPr="00594E11">
        <w:rPr>
          <w:color w:val="000000" w:themeColor="text1"/>
        </w:rPr>
        <w:t>, students reflected on two prompts:</w:t>
      </w:r>
    </w:p>
    <w:p w:rsidR="00594E11" w:rsidRPr="00594E11" w:rsidRDefault="00594E11" w:rsidP="00594E11">
      <w:pPr>
        <w:spacing w:line="480" w:lineRule="auto"/>
        <w:ind w:left="720"/>
        <w:rPr>
          <w:rFonts w:eastAsia="Times New Roman"/>
          <w:color w:val="000000" w:themeColor="text1"/>
        </w:rPr>
      </w:pPr>
      <w:r>
        <w:rPr>
          <w:rFonts w:eastAsia="Times New Roman"/>
          <w:color w:val="000000" w:themeColor="text1"/>
        </w:rPr>
        <w:t xml:space="preserve">Prompt #1: </w:t>
      </w:r>
      <w:r w:rsidRPr="00594E11">
        <w:rPr>
          <w:rFonts w:eastAsia="Times New Roman"/>
          <w:color w:val="000000" w:themeColor="text1"/>
        </w:rPr>
        <w:t>Talk to me about your experience of imagining mathematics. What did you see? Was is it demanding or effortless? How did you feel during the process? Did you pay attention to your body? What was it doing?</w:t>
      </w:r>
    </w:p>
    <w:p w:rsidR="00594E11" w:rsidRDefault="00594E11" w:rsidP="00594E11">
      <w:pPr>
        <w:spacing w:line="480" w:lineRule="auto"/>
        <w:ind w:left="720"/>
        <w:rPr>
          <w:rFonts w:eastAsia="Times New Roman"/>
          <w:color w:val="000000" w:themeColor="text1"/>
        </w:rPr>
      </w:pPr>
      <w:r>
        <w:rPr>
          <w:rFonts w:eastAsia="Times New Roman"/>
          <w:color w:val="000000" w:themeColor="text1"/>
        </w:rPr>
        <w:t xml:space="preserve">Prompt #2: </w:t>
      </w:r>
      <w:r w:rsidRPr="00594E11">
        <w:rPr>
          <w:rFonts w:eastAsia="Times New Roman"/>
          <w:color w:val="000000" w:themeColor="text1"/>
        </w:rPr>
        <w:t>I asked you to communicate your imaginations in a variety of ways (e.g.</w:t>
      </w:r>
      <w:r w:rsidR="00D63AC2">
        <w:rPr>
          <w:rFonts w:eastAsia="Times New Roman"/>
          <w:color w:val="000000" w:themeColor="text1"/>
        </w:rPr>
        <w:t>,</w:t>
      </w:r>
      <w:r w:rsidRPr="00594E11">
        <w:rPr>
          <w:rFonts w:eastAsia="Times New Roman"/>
          <w:color w:val="000000" w:themeColor="text1"/>
        </w:rPr>
        <w:t xml:space="preserve"> gesture, speech, and drawing). What did you find most natural? </w:t>
      </w:r>
      <w:r w:rsidR="00D63AC2">
        <w:rPr>
          <w:rFonts w:eastAsia="Times New Roman"/>
          <w:color w:val="000000" w:themeColor="text1"/>
        </w:rPr>
        <w:t>M</w:t>
      </w:r>
      <w:r w:rsidRPr="00594E11">
        <w:rPr>
          <w:rFonts w:eastAsia="Times New Roman"/>
          <w:color w:val="000000" w:themeColor="text1"/>
        </w:rPr>
        <w:t>ost difficult? Was there one means that helped you imagine "better" than others? That is, did communicating in a particular way help or hinder what you saw in your imagination?</w:t>
      </w:r>
    </w:p>
    <w:p w:rsidR="00E80B60" w:rsidRPr="00594E11" w:rsidRDefault="00E80B60" w:rsidP="00594E11">
      <w:pPr>
        <w:spacing w:line="480" w:lineRule="auto"/>
        <w:ind w:left="720"/>
        <w:rPr>
          <w:rFonts w:eastAsia="Times New Roman"/>
          <w:color w:val="000000" w:themeColor="text1"/>
        </w:rPr>
      </w:pPr>
    </w:p>
    <w:p w:rsidR="00594E11" w:rsidRDefault="00377B76" w:rsidP="007D2926">
      <w:pPr>
        <w:spacing w:line="480" w:lineRule="auto"/>
        <w:rPr>
          <w:color w:val="000000" w:themeColor="text1"/>
        </w:rPr>
      </w:pPr>
      <w:r>
        <w:rPr>
          <w:color w:val="000000" w:themeColor="text1"/>
        </w:rPr>
        <w:lastRenderedPageBreak/>
        <w:t>Table</w:t>
      </w:r>
      <w:r w:rsidR="00594E11">
        <w:rPr>
          <w:color w:val="000000" w:themeColor="text1"/>
        </w:rPr>
        <w:t xml:space="preserve"> 1 summarizes the details of the </w:t>
      </w:r>
      <w:r w:rsidR="002156F2">
        <w:rPr>
          <w:color w:val="000000" w:themeColor="text1"/>
        </w:rPr>
        <w:t>exercise</w:t>
      </w:r>
      <w:r w:rsidR="00594E11">
        <w:rPr>
          <w:color w:val="000000" w:themeColor="text1"/>
        </w:rPr>
        <w:t xml:space="preserve">. Of the 31 students in the class, 11 agreed to participate in a study focused on embodied ways of knowing in mathematics. Collected data included </w:t>
      </w:r>
      <w:r w:rsidR="00C2007C">
        <w:rPr>
          <w:color w:val="000000" w:themeColor="text1"/>
        </w:rPr>
        <w:t xml:space="preserve">video, diagrams, and written reflections. I report </w:t>
      </w:r>
      <w:r w:rsidR="001030FD">
        <w:rPr>
          <w:color w:val="000000" w:themeColor="text1"/>
        </w:rPr>
        <w:t>on one</w:t>
      </w:r>
      <w:r w:rsidR="00C2007C">
        <w:rPr>
          <w:color w:val="000000" w:themeColor="text1"/>
        </w:rPr>
        <w:t xml:space="preserve"> of these participants below.</w:t>
      </w:r>
    </w:p>
    <w:p w:rsidR="00E80B60" w:rsidRDefault="00E80B60" w:rsidP="007D2926">
      <w:pPr>
        <w:spacing w:line="480" w:lineRule="auto"/>
        <w:rPr>
          <w:color w:val="000000" w:themeColor="text1"/>
        </w:rPr>
      </w:pPr>
    </w:p>
    <w:p w:rsidR="00726F76" w:rsidRPr="003F600D" w:rsidRDefault="003F600D" w:rsidP="007D2926">
      <w:pPr>
        <w:spacing w:line="480" w:lineRule="auto"/>
        <w:rPr>
          <w:b/>
          <w:bCs/>
          <w:color w:val="000000" w:themeColor="text1"/>
        </w:rPr>
      </w:pPr>
      <w:r w:rsidRPr="003F600D">
        <w:rPr>
          <w:b/>
          <w:bCs/>
          <w:color w:val="000000" w:themeColor="text1"/>
        </w:rPr>
        <w:t>Table 1</w:t>
      </w:r>
    </w:p>
    <w:p w:rsidR="003F600D" w:rsidRDefault="003F600D" w:rsidP="007D2926">
      <w:pPr>
        <w:spacing w:line="480" w:lineRule="auto"/>
        <w:rPr>
          <w:color w:val="000000" w:themeColor="text1"/>
        </w:rPr>
      </w:pPr>
      <w:r w:rsidRPr="003F600D">
        <w:rPr>
          <w:noProof/>
          <w:color w:val="000000" w:themeColor="text1"/>
          <w:lang w:val="en-GB" w:eastAsia="en-GB"/>
        </w:rPr>
        <w:drawing>
          <wp:inline distT="0" distB="0" distL="0" distR="0">
            <wp:extent cx="5943600" cy="3427095"/>
            <wp:effectExtent l="0" t="0" r="0" b="190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stretch>
                      <a:fillRect/>
                    </a:stretch>
                  </pic:blipFill>
                  <pic:spPr>
                    <a:xfrm>
                      <a:off x="0" y="0"/>
                      <a:ext cx="5943600" cy="3427095"/>
                    </a:xfrm>
                    <a:prstGeom prst="rect">
                      <a:avLst/>
                    </a:prstGeom>
                  </pic:spPr>
                </pic:pic>
              </a:graphicData>
            </a:graphic>
          </wp:inline>
        </w:drawing>
      </w:r>
    </w:p>
    <w:p w:rsidR="00E80B60" w:rsidRDefault="00E80B60" w:rsidP="007D2926">
      <w:pPr>
        <w:spacing w:line="480" w:lineRule="auto"/>
        <w:rPr>
          <w:color w:val="000000" w:themeColor="text1"/>
        </w:rPr>
      </w:pPr>
    </w:p>
    <w:p w:rsidR="00726F76" w:rsidRDefault="00726F76" w:rsidP="007D2926">
      <w:pPr>
        <w:spacing w:line="480" w:lineRule="auto"/>
        <w:rPr>
          <w:color w:val="000000" w:themeColor="text1"/>
        </w:rPr>
      </w:pPr>
      <w:r>
        <w:rPr>
          <w:color w:val="000000" w:themeColor="text1"/>
        </w:rPr>
        <w:tab/>
        <w:t xml:space="preserve">My objective in this paper is to reveal the ways in which the phenomenon of tentativeness emerged in the course of problem solving and posing in mathematics. </w:t>
      </w:r>
      <w:r w:rsidR="00AD5664">
        <w:rPr>
          <w:color w:val="000000" w:themeColor="text1"/>
        </w:rPr>
        <w:t xml:space="preserve">To put those instances into high relief, I have </w:t>
      </w:r>
      <w:r w:rsidR="00E743FC">
        <w:rPr>
          <w:color w:val="000000" w:themeColor="text1"/>
        </w:rPr>
        <w:t>chosen</w:t>
      </w:r>
      <w:r w:rsidR="00AD5664">
        <w:rPr>
          <w:color w:val="000000" w:themeColor="text1"/>
        </w:rPr>
        <w:t xml:space="preserve"> to interpret the ways in which the hand acted as a landing site for</w:t>
      </w:r>
      <w:r w:rsidR="00377B76">
        <w:rPr>
          <w:color w:val="000000" w:themeColor="text1"/>
        </w:rPr>
        <w:t xml:space="preserve"> the</w:t>
      </w:r>
      <w:r w:rsidR="00AD5664">
        <w:rPr>
          <w:color w:val="000000" w:themeColor="text1"/>
        </w:rPr>
        <w:t xml:space="preserve"> participants. The visualization exercises conducted in this </w:t>
      </w:r>
      <w:r w:rsidR="00EA2DC4">
        <w:rPr>
          <w:color w:val="000000" w:themeColor="text1"/>
        </w:rPr>
        <w:t>activity</w:t>
      </w:r>
      <w:r w:rsidR="00AD5664">
        <w:rPr>
          <w:color w:val="000000" w:themeColor="text1"/>
        </w:rPr>
        <w:t xml:space="preserve"> were challenging, and elicited </w:t>
      </w:r>
      <w:r w:rsidR="00EA2DC4">
        <w:rPr>
          <w:color w:val="000000" w:themeColor="text1"/>
        </w:rPr>
        <w:t xml:space="preserve">feelings of hesitancy, uncertainty, and frustration from students. But the participants in this study often spoke to how their bodies, in particular their hands, enabled them </w:t>
      </w:r>
      <w:r w:rsidR="00EA2DC4">
        <w:rPr>
          <w:color w:val="000000" w:themeColor="text1"/>
        </w:rPr>
        <w:lastRenderedPageBreak/>
        <w:t xml:space="preserve">to work through the problem. </w:t>
      </w:r>
      <w:r w:rsidR="001750E2">
        <w:rPr>
          <w:color w:val="000000" w:themeColor="text1"/>
        </w:rPr>
        <w:t xml:space="preserve">To speak to the way each participant </w:t>
      </w:r>
      <w:r w:rsidR="00F27681">
        <w:rPr>
          <w:color w:val="000000" w:themeColor="text1"/>
        </w:rPr>
        <w:t>initiate</w:t>
      </w:r>
      <w:r w:rsidR="00D63AC2">
        <w:rPr>
          <w:color w:val="000000" w:themeColor="text1"/>
        </w:rPr>
        <w:t>d</w:t>
      </w:r>
      <w:r w:rsidR="00F27681">
        <w:rPr>
          <w:color w:val="000000" w:themeColor="text1"/>
        </w:rPr>
        <w:t xml:space="preserve"> tentative action</w:t>
      </w:r>
      <w:r w:rsidR="001750E2">
        <w:rPr>
          <w:color w:val="000000" w:themeColor="text1"/>
        </w:rPr>
        <w:t xml:space="preserve"> and use</w:t>
      </w:r>
      <w:r w:rsidR="00D63AC2">
        <w:rPr>
          <w:color w:val="000000" w:themeColor="text1"/>
        </w:rPr>
        <w:t>d</w:t>
      </w:r>
      <w:r w:rsidR="001750E2">
        <w:rPr>
          <w:color w:val="000000" w:themeColor="text1"/>
        </w:rPr>
        <w:t xml:space="preserve"> their body, </w:t>
      </w:r>
      <w:r w:rsidR="001030FD">
        <w:rPr>
          <w:color w:val="000000" w:themeColor="text1"/>
        </w:rPr>
        <w:t xml:space="preserve">Figure 1 depicts a stylized image </w:t>
      </w:r>
      <w:r w:rsidR="001750E2">
        <w:rPr>
          <w:color w:val="000000" w:themeColor="text1"/>
        </w:rPr>
        <w:t xml:space="preserve">captured from </w:t>
      </w:r>
      <w:r w:rsidR="00F27681">
        <w:rPr>
          <w:color w:val="000000" w:themeColor="text1"/>
        </w:rPr>
        <w:t>Participant</w:t>
      </w:r>
      <w:r w:rsidR="001030FD">
        <w:rPr>
          <w:color w:val="000000" w:themeColor="text1"/>
        </w:rPr>
        <w:t xml:space="preserve"> 9’s </w:t>
      </w:r>
      <w:r w:rsidR="001750E2">
        <w:rPr>
          <w:color w:val="000000" w:themeColor="text1"/>
        </w:rPr>
        <w:t>video response</w:t>
      </w:r>
      <w:r w:rsidR="001030FD">
        <w:rPr>
          <w:color w:val="000000" w:themeColor="text1"/>
        </w:rPr>
        <w:t>s</w:t>
      </w:r>
      <w:r w:rsidR="001750E2">
        <w:rPr>
          <w:color w:val="000000" w:themeColor="text1"/>
        </w:rPr>
        <w:t>.</w:t>
      </w:r>
    </w:p>
    <w:p w:rsidR="00E80B60" w:rsidRDefault="00E80B60" w:rsidP="007D2926">
      <w:pPr>
        <w:spacing w:line="480" w:lineRule="auto"/>
        <w:rPr>
          <w:color w:val="000000" w:themeColor="text1"/>
        </w:rPr>
      </w:pPr>
    </w:p>
    <w:p w:rsidR="00822324" w:rsidRPr="00D912AB" w:rsidRDefault="00822324" w:rsidP="00822324">
      <w:pPr>
        <w:spacing w:line="480" w:lineRule="auto"/>
        <w:rPr>
          <w:b/>
          <w:bCs/>
        </w:rPr>
      </w:pPr>
      <w:r w:rsidRPr="00D912AB">
        <w:rPr>
          <w:b/>
          <w:bCs/>
        </w:rPr>
        <w:t xml:space="preserve">Figure </w:t>
      </w:r>
      <w:r w:rsidR="00377B76">
        <w:rPr>
          <w:b/>
          <w:bCs/>
        </w:rPr>
        <w:t>1</w:t>
      </w:r>
    </w:p>
    <w:p w:rsidR="00822324" w:rsidRPr="00D912AB" w:rsidRDefault="003F600D" w:rsidP="00822324">
      <w:pPr>
        <w:spacing w:line="480" w:lineRule="auto"/>
        <w:rPr>
          <w:i/>
          <w:iCs/>
        </w:rPr>
      </w:pPr>
      <w:r>
        <w:rPr>
          <w:i/>
          <w:iCs/>
        </w:rPr>
        <w:t>Gesturing Motion</w:t>
      </w:r>
    </w:p>
    <w:p w:rsidR="001030FD" w:rsidRDefault="003F600D" w:rsidP="007D2926">
      <w:pPr>
        <w:spacing w:line="480" w:lineRule="auto"/>
        <w:rPr>
          <w:color w:val="000000" w:themeColor="text1"/>
        </w:rPr>
      </w:pPr>
      <w:r>
        <w:rPr>
          <w:noProof/>
          <w:color w:val="000000" w:themeColor="text1"/>
          <w:lang w:val="en-GB" w:eastAsia="en-GB"/>
        </w:rPr>
        <w:drawing>
          <wp:inline distT="0" distB="0" distL="0" distR="0">
            <wp:extent cx="5943600" cy="382651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826510"/>
                    </a:xfrm>
                    <a:prstGeom prst="rect">
                      <a:avLst/>
                    </a:prstGeom>
                  </pic:spPr>
                </pic:pic>
              </a:graphicData>
            </a:graphic>
          </wp:inline>
        </w:drawing>
      </w:r>
    </w:p>
    <w:p w:rsidR="001750E2" w:rsidRDefault="001750E2" w:rsidP="007D2926">
      <w:pPr>
        <w:spacing w:line="480" w:lineRule="auto"/>
        <w:rPr>
          <w:color w:val="000000" w:themeColor="text1"/>
        </w:rPr>
      </w:pPr>
      <w:r>
        <w:rPr>
          <w:color w:val="000000" w:themeColor="text1"/>
        </w:rPr>
        <w:tab/>
      </w:r>
      <w:r w:rsidR="001030FD">
        <w:rPr>
          <w:color w:val="000000" w:themeColor="text1"/>
        </w:rPr>
        <w:t xml:space="preserve">In this image, Participant 9 is using her hands to describe the relationship between two circles, one small </w:t>
      </w:r>
      <w:r w:rsidR="00F27681">
        <w:rPr>
          <w:color w:val="000000" w:themeColor="text1"/>
        </w:rPr>
        <w:t xml:space="preserve">circle </w:t>
      </w:r>
      <w:r w:rsidR="000A4205">
        <w:rPr>
          <w:color w:val="000000" w:themeColor="text1"/>
        </w:rPr>
        <w:t xml:space="preserve">tangent to the inside of a larger one, as the small circle moves along the inside of the other. Every participant </w:t>
      </w:r>
      <w:r w:rsidR="00B81A1B">
        <w:rPr>
          <w:color w:val="000000" w:themeColor="text1"/>
        </w:rPr>
        <w:t xml:space="preserve">in the study </w:t>
      </w:r>
      <w:r w:rsidR="000A4205">
        <w:rPr>
          <w:color w:val="000000" w:themeColor="text1"/>
        </w:rPr>
        <w:t xml:space="preserve">used an abundance of gesture to describe their visualizations (in fact, in the first round, students could </w:t>
      </w:r>
      <w:r w:rsidR="000A4205" w:rsidRPr="000A4205">
        <w:rPr>
          <w:i/>
          <w:iCs/>
          <w:color w:val="000000" w:themeColor="text1"/>
        </w:rPr>
        <w:t>only</w:t>
      </w:r>
      <w:r w:rsidR="000A4205">
        <w:rPr>
          <w:color w:val="000000" w:themeColor="text1"/>
        </w:rPr>
        <w:t xml:space="preserve"> gesture to communicate). But what struck me was the way </w:t>
      </w:r>
      <w:r w:rsidR="00B81A1B">
        <w:rPr>
          <w:color w:val="000000" w:themeColor="text1"/>
        </w:rPr>
        <w:t>P</w:t>
      </w:r>
      <w:r w:rsidR="000A4205">
        <w:rPr>
          <w:color w:val="000000" w:themeColor="text1"/>
        </w:rPr>
        <w:t xml:space="preserve">articipant 9 spoke of the role her hands played in her work. While other participants identified drawing as </w:t>
      </w:r>
      <w:r w:rsidR="00B81A1B">
        <w:rPr>
          <w:color w:val="000000" w:themeColor="text1"/>
        </w:rPr>
        <w:t>a</w:t>
      </w:r>
      <w:r w:rsidR="00E743FC">
        <w:rPr>
          <w:color w:val="000000" w:themeColor="text1"/>
        </w:rPr>
        <w:t xml:space="preserve"> </w:t>
      </w:r>
      <w:r w:rsidR="000A4205">
        <w:rPr>
          <w:color w:val="000000" w:themeColor="text1"/>
        </w:rPr>
        <w:t xml:space="preserve">favoured approach, </w:t>
      </w:r>
      <w:r w:rsidR="00A746A5">
        <w:rPr>
          <w:color w:val="000000" w:themeColor="text1"/>
        </w:rPr>
        <w:t>P</w:t>
      </w:r>
      <w:r w:rsidR="000A4205">
        <w:rPr>
          <w:color w:val="000000" w:themeColor="text1"/>
        </w:rPr>
        <w:t xml:space="preserve">articipant 9 eschewed </w:t>
      </w:r>
      <w:r w:rsidR="00F27681">
        <w:rPr>
          <w:color w:val="000000" w:themeColor="text1"/>
        </w:rPr>
        <w:t>drawing</w:t>
      </w:r>
      <w:r w:rsidR="000A4205">
        <w:rPr>
          <w:color w:val="000000" w:themeColor="text1"/>
        </w:rPr>
        <w:t xml:space="preserve"> for gesture.</w:t>
      </w:r>
    </w:p>
    <w:p w:rsidR="000A4205" w:rsidRDefault="000A4205" w:rsidP="000A4205">
      <w:pPr>
        <w:spacing w:line="480" w:lineRule="auto"/>
        <w:ind w:left="720"/>
        <w:rPr>
          <w:rFonts w:eastAsia="Times New Roman"/>
          <w:color w:val="000000" w:themeColor="text1"/>
        </w:rPr>
      </w:pPr>
      <w:r w:rsidRPr="000A4205">
        <w:rPr>
          <w:rFonts w:eastAsia="Times New Roman"/>
          <w:color w:val="000000" w:themeColor="text1"/>
        </w:rPr>
        <w:lastRenderedPageBreak/>
        <w:t>I decided to try to use my hands to visualize the movement instead of drawing a picture when I listened to it the second time. I had already tried to draw a diagram so I didn’t think I was doing it wrong. It really helped me to make a motion with my hands to ‘see’ it better in my mind.</w:t>
      </w:r>
      <w:r>
        <w:rPr>
          <w:rFonts w:eastAsia="Times New Roman"/>
          <w:color w:val="000000" w:themeColor="text1"/>
        </w:rPr>
        <w:t xml:space="preserve"> [Participant 9]</w:t>
      </w:r>
    </w:p>
    <w:p w:rsidR="000A4205" w:rsidRDefault="004F305E" w:rsidP="00A575AD">
      <w:pPr>
        <w:spacing w:line="480" w:lineRule="auto"/>
        <w:rPr>
          <w:rFonts w:eastAsia="Times New Roman"/>
          <w:color w:val="000000" w:themeColor="text1"/>
        </w:rPr>
      </w:pPr>
      <w:r>
        <w:rPr>
          <w:rFonts w:eastAsia="Times New Roman"/>
          <w:color w:val="000000" w:themeColor="text1"/>
        </w:rPr>
        <w:t xml:space="preserve">Indeed, this participant went on to identify the dynamic nature of the exercise as </w:t>
      </w:r>
      <w:r w:rsidR="00A746A5">
        <w:rPr>
          <w:rFonts w:eastAsia="Times New Roman"/>
          <w:color w:val="000000" w:themeColor="text1"/>
        </w:rPr>
        <w:t>that which</w:t>
      </w:r>
      <w:r>
        <w:rPr>
          <w:rFonts w:eastAsia="Times New Roman"/>
          <w:color w:val="000000" w:themeColor="text1"/>
        </w:rPr>
        <w:t xml:space="preserve"> led her to favour bodily movement over drawing. She indicated that “d</w:t>
      </w:r>
      <w:r w:rsidRPr="004F305E">
        <w:rPr>
          <w:rFonts w:eastAsia="Times New Roman"/>
          <w:color w:val="000000" w:themeColor="text1"/>
        </w:rPr>
        <w:t>rawing was extremely or rather the most helpful for a static idea but not when it came to a difficult spatial problem solving in motion</w:t>
      </w:r>
      <w:r>
        <w:rPr>
          <w:rFonts w:eastAsia="Times New Roman"/>
          <w:color w:val="000000" w:themeColor="text1"/>
        </w:rPr>
        <w:t>.” For that, she required her hands, “</w:t>
      </w:r>
      <w:r w:rsidRPr="004F305E">
        <w:rPr>
          <w:rFonts w:eastAsia="Times New Roman"/>
          <w:color w:val="000000" w:themeColor="text1"/>
        </w:rPr>
        <w:t>which really helped me to make a motion</w:t>
      </w:r>
      <w:r>
        <w:rPr>
          <w:rFonts w:eastAsia="Times New Roman"/>
          <w:color w:val="000000" w:themeColor="text1"/>
        </w:rPr>
        <w:t>…</w:t>
      </w:r>
      <w:r w:rsidRPr="004F305E">
        <w:rPr>
          <w:rFonts w:eastAsia="Times New Roman"/>
          <w:color w:val="000000" w:themeColor="text1"/>
        </w:rPr>
        <w:t>to ‘see’ it better in my mind.</w:t>
      </w:r>
      <w:r>
        <w:rPr>
          <w:rFonts w:eastAsia="Times New Roman"/>
          <w:color w:val="000000" w:themeColor="text1"/>
        </w:rPr>
        <w:t>”</w:t>
      </w:r>
      <w:r w:rsidR="00A575AD">
        <w:rPr>
          <w:rFonts w:eastAsia="Times New Roman"/>
          <w:color w:val="000000" w:themeColor="text1"/>
        </w:rPr>
        <w:t xml:space="preserve"> How does this speak to the notion of the hand </w:t>
      </w:r>
      <w:r w:rsidR="003806F3">
        <w:rPr>
          <w:rFonts w:eastAsia="Times New Roman"/>
          <w:color w:val="000000" w:themeColor="text1"/>
        </w:rPr>
        <w:t>as</w:t>
      </w:r>
      <w:r w:rsidR="00A575AD">
        <w:rPr>
          <w:rFonts w:eastAsia="Times New Roman"/>
          <w:color w:val="000000" w:themeColor="text1"/>
        </w:rPr>
        <w:t xml:space="preserve"> a landing site</w:t>
      </w:r>
      <w:r w:rsidR="003806F3">
        <w:rPr>
          <w:rFonts w:eastAsia="Times New Roman"/>
          <w:color w:val="000000" w:themeColor="text1"/>
        </w:rPr>
        <w:t xml:space="preserve"> for tentativeness</w:t>
      </w:r>
      <w:r w:rsidR="00A575AD">
        <w:rPr>
          <w:rFonts w:eastAsia="Times New Roman"/>
          <w:color w:val="000000" w:themeColor="text1"/>
        </w:rPr>
        <w:t xml:space="preserve">? I argue it is in how Participant 9 took note of her body, in particular her hands, as she arrived at a provisional solution. During the activity, Participant 9 </w:t>
      </w:r>
      <w:r w:rsidR="00A575AD" w:rsidRPr="00A575AD">
        <w:rPr>
          <w:rFonts w:eastAsia="Times New Roman"/>
          <w:color w:val="000000" w:themeColor="text1"/>
        </w:rPr>
        <w:t xml:space="preserve">noted that she felt </w:t>
      </w:r>
      <w:r w:rsidR="00A575AD">
        <w:rPr>
          <w:rFonts w:eastAsia="Times New Roman"/>
          <w:color w:val="000000" w:themeColor="text1"/>
        </w:rPr>
        <w:t>“</w:t>
      </w:r>
      <w:r w:rsidR="00A575AD" w:rsidRPr="00A575AD">
        <w:rPr>
          <w:rFonts w:eastAsia="Times New Roman"/>
          <w:color w:val="000000" w:themeColor="text1"/>
        </w:rPr>
        <w:t xml:space="preserve">there </w:t>
      </w:r>
      <w:r w:rsidR="00A575AD">
        <w:rPr>
          <w:rFonts w:eastAsia="Times New Roman"/>
          <w:color w:val="000000" w:themeColor="text1"/>
        </w:rPr>
        <w:t>is</w:t>
      </w:r>
      <w:r w:rsidR="00A575AD" w:rsidRPr="00A575AD">
        <w:rPr>
          <w:rFonts w:eastAsia="Times New Roman"/>
          <w:color w:val="000000" w:themeColor="text1"/>
        </w:rPr>
        <w:t xml:space="preserve"> probably a solution</w:t>
      </w:r>
      <w:r w:rsidR="00A575AD">
        <w:rPr>
          <w:rFonts w:eastAsia="Times New Roman"/>
          <w:color w:val="000000" w:themeColor="text1"/>
        </w:rPr>
        <w:t>,</w:t>
      </w:r>
      <w:r w:rsidR="00A575AD" w:rsidRPr="00A575AD">
        <w:rPr>
          <w:rFonts w:eastAsia="Times New Roman"/>
          <w:color w:val="000000" w:themeColor="text1"/>
        </w:rPr>
        <w:t xml:space="preserve"> but because I can’t picture it, this is the best I got for the moment</w:t>
      </w:r>
      <w:r w:rsidR="00A575AD">
        <w:rPr>
          <w:rFonts w:eastAsia="Times New Roman"/>
          <w:color w:val="000000" w:themeColor="text1"/>
        </w:rPr>
        <w:t xml:space="preserve">.” </w:t>
      </w:r>
      <w:r w:rsidR="003806F3">
        <w:rPr>
          <w:rFonts w:eastAsia="Times New Roman"/>
          <w:color w:val="000000" w:themeColor="text1"/>
        </w:rPr>
        <w:t xml:space="preserve">Figure 1 depicts this tentative solution: Participant 9 uses her hands to hold a dynamic geometric relationship in place in order to draw out the potential qualities of a solution. </w:t>
      </w:r>
      <w:r w:rsidR="0012733E">
        <w:rPr>
          <w:rFonts w:eastAsia="Times New Roman"/>
          <w:color w:val="000000" w:themeColor="text1"/>
        </w:rPr>
        <w:t xml:space="preserve">I take up this idea of tentative, good-enough solutions in the next case, </w:t>
      </w:r>
      <w:r w:rsidR="00A575AD" w:rsidRPr="00A575AD">
        <w:rPr>
          <w:rFonts w:eastAsia="Times New Roman"/>
          <w:color w:val="000000" w:themeColor="text1"/>
        </w:rPr>
        <w:t xml:space="preserve">but </w:t>
      </w:r>
      <w:r w:rsidR="0012733E">
        <w:rPr>
          <w:rFonts w:eastAsia="Times New Roman"/>
          <w:color w:val="000000" w:themeColor="text1"/>
        </w:rPr>
        <w:t>end here by pointing to Participant 9’s acknowledgement of the role her hands played in taking note: “</w:t>
      </w:r>
      <w:r w:rsidR="0012733E" w:rsidRPr="0012733E">
        <w:rPr>
          <w:rFonts w:eastAsia="Times New Roman"/>
          <w:color w:val="000000" w:themeColor="text1"/>
        </w:rPr>
        <w:t>I felt much more engaged mentally and physically when I gestured with my hands. When I just sat there, I did not notice my body.</w:t>
      </w:r>
      <w:r w:rsidR="0012733E">
        <w:rPr>
          <w:rFonts w:eastAsia="Times New Roman"/>
          <w:color w:val="000000" w:themeColor="text1"/>
        </w:rPr>
        <w:t>”</w:t>
      </w:r>
    </w:p>
    <w:p w:rsidR="00E80B60" w:rsidRPr="00A575AD" w:rsidRDefault="00E80B60" w:rsidP="00A575AD">
      <w:pPr>
        <w:spacing w:line="480" w:lineRule="auto"/>
        <w:rPr>
          <w:rFonts w:eastAsia="Times New Roman"/>
          <w:color w:val="000000" w:themeColor="text1"/>
        </w:rPr>
      </w:pPr>
    </w:p>
    <w:p w:rsidR="0019400B" w:rsidRPr="009B4B13" w:rsidRDefault="0019400B" w:rsidP="007D2926">
      <w:pPr>
        <w:spacing w:line="480" w:lineRule="auto"/>
        <w:rPr>
          <w:i/>
          <w:iCs/>
        </w:rPr>
      </w:pPr>
      <w:r w:rsidRPr="00594E11">
        <w:rPr>
          <w:i/>
          <w:iCs/>
          <w:color w:val="000000" w:themeColor="text1"/>
        </w:rPr>
        <w:t>Case Two: Discu</w:t>
      </w:r>
      <w:r w:rsidRPr="009B4B13">
        <w:rPr>
          <w:i/>
          <w:iCs/>
        </w:rPr>
        <w:t>ssing Parabolas</w:t>
      </w:r>
    </w:p>
    <w:p w:rsidR="0019400B" w:rsidRDefault="0041463B" w:rsidP="007D2926">
      <w:pPr>
        <w:spacing w:line="480" w:lineRule="auto"/>
      </w:pPr>
      <w:r>
        <w:tab/>
      </w:r>
      <w:r w:rsidR="003806F3">
        <w:t>Markle (2022) conceptualizes</w:t>
      </w:r>
      <w:r>
        <w:t xml:space="preserve"> tentativeness as “an emergent, participatory quality of problem solving </w:t>
      </w:r>
      <w:r w:rsidR="00301018">
        <w:t xml:space="preserve">and posing and an affordance that broadens the possibility for adaptive action in an environment” (p. 21). In that </w:t>
      </w:r>
      <w:r w:rsidR="003806F3">
        <w:t>work</w:t>
      </w:r>
      <w:r w:rsidR="00301018">
        <w:t xml:space="preserve">, I focused on the collective, often gestural </w:t>
      </w:r>
      <w:r w:rsidR="009F77F1">
        <w:t xml:space="preserve">exchange </w:t>
      </w:r>
      <w:r w:rsidR="009F77F1">
        <w:lastRenderedPageBreak/>
        <w:t>between three participants as part of a larger study of embodied experiences in the secondary mathematics classroom. Through analysis of gesture, speech, and artifacts such as drawn diagrams, I characterized their mathematical understanding as emerging out of the “collective, tentative interactions between participants and the environment” (Markle, 2022, p. 23).</w:t>
      </w:r>
    </w:p>
    <w:p w:rsidR="009F77F1" w:rsidRDefault="009F77F1" w:rsidP="007D2926">
      <w:pPr>
        <w:spacing w:line="480" w:lineRule="auto"/>
      </w:pPr>
      <w:r>
        <w:tab/>
        <w:t xml:space="preserve">In </w:t>
      </w:r>
      <w:r w:rsidR="003806F3">
        <w:t>the present work</w:t>
      </w:r>
      <w:r>
        <w:t xml:space="preserve">, I </w:t>
      </w:r>
      <w:r w:rsidR="003806F3">
        <w:t xml:space="preserve">briefly </w:t>
      </w:r>
      <w:r>
        <w:t xml:space="preserve">return to some of that data under the interpretive lens of the hand as a landing site. Figure </w:t>
      </w:r>
      <w:r w:rsidR="00F27681">
        <w:t>2</w:t>
      </w:r>
      <w:r>
        <w:t xml:space="preserve"> depicts one participant’s description </w:t>
      </w:r>
      <w:r w:rsidR="00E479D6">
        <w:t>of the relationship between a line and a parabola. Specifically, the participant is responding to a graph showing a linear and a quadratic function, and describing what happens when the latter is divided by the former.</w:t>
      </w:r>
    </w:p>
    <w:p w:rsidR="00E80B60" w:rsidRDefault="00E80B60" w:rsidP="007D2926">
      <w:pPr>
        <w:spacing w:line="480" w:lineRule="auto"/>
      </w:pPr>
    </w:p>
    <w:p w:rsidR="00822324" w:rsidRPr="00D912AB" w:rsidRDefault="00822324" w:rsidP="00822324">
      <w:pPr>
        <w:spacing w:line="480" w:lineRule="auto"/>
        <w:rPr>
          <w:b/>
          <w:bCs/>
        </w:rPr>
      </w:pPr>
      <w:r w:rsidRPr="00D912AB">
        <w:rPr>
          <w:b/>
          <w:bCs/>
        </w:rPr>
        <w:t>Figure 2</w:t>
      </w:r>
    </w:p>
    <w:p w:rsidR="00822324" w:rsidRPr="00D912AB" w:rsidRDefault="00822324" w:rsidP="00822324">
      <w:pPr>
        <w:spacing w:line="480" w:lineRule="auto"/>
        <w:rPr>
          <w:i/>
          <w:iCs/>
        </w:rPr>
      </w:pPr>
      <w:r w:rsidRPr="00D912AB">
        <w:rPr>
          <w:i/>
          <w:iCs/>
        </w:rPr>
        <w:t>AQ describing her thinking with gesture</w:t>
      </w:r>
    </w:p>
    <w:p w:rsidR="00822324" w:rsidRDefault="008A4D0B" w:rsidP="00822324">
      <w:pPr>
        <w:spacing w:line="480" w:lineRule="auto"/>
      </w:pPr>
      <w:r w:rsidRPr="008A4D0B">
        <w:rPr>
          <w:noProof/>
          <w:lang w:val="en-GB" w:eastAsia="en-GB"/>
        </w:rPr>
        <w:drawing>
          <wp:inline distT="0" distB="0" distL="0" distR="0">
            <wp:extent cx="5943600" cy="1936115"/>
            <wp:effectExtent l="0" t="0" r="0" b="0"/>
            <wp:docPr id="6" name="Picture 6" descr="A picture containing person, indoor, perso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indoor, person, appliance&#10;&#10;Description automatically generated"/>
                    <pic:cNvPicPr/>
                  </pic:nvPicPr>
                  <pic:blipFill>
                    <a:blip r:embed="rId9"/>
                    <a:stretch>
                      <a:fillRect/>
                    </a:stretch>
                  </pic:blipFill>
                  <pic:spPr>
                    <a:xfrm>
                      <a:off x="0" y="0"/>
                      <a:ext cx="5943600" cy="1936115"/>
                    </a:xfrm>
                    <a:prstGeom prst="rect">
                      <a:avLst/>
                    </a:prstGeom>
                  </pic:spPr>
                </pic:pic>
              </a:graphicData>
            </a:graphic>
          </wp:inline>
        </w:drawing>
      </w:r>
    </w:p>
    <w:p w:rsidR="00E479D6" w:rsidRDefault="00B20200" w:rsidP="007D2926">
      <w:pPr>
        <w:spacing w:line="480" w:lineRule="auto"/>
      </w:pPr>
      <w:r>
        <w:t>This participant verbally described here thinking as she gestured. I include her verbal description here:</w:t>
      </w:r>
    </w:p>
    <w:p w:rsidR="00B20200" w:rsidRDefault="00822324" w:rsidP="00822324">
      <w:pPr>
        <w:spacing w:line="480" w:lineRule="auto"/>
        <w:ind w:left="720"/>
      </w:pPr>
      <w:r>
        <w:t xml:space="preserve">Um, well when you divide … the parabola (a) by a linear line (b), it just becomes a linear line (c). So, since that linear line is negative and the parabola opens up, the other line has to have a negative </w:t>
      </w:r>
      <w:proofErr w:type="gramStart"/>
      <w:r>
        <w:t>slope.(</w:t>
      </w:r>
      <w:proofErr w:type="gramEnd"/>
      <w:r>
        <w:t>Participant)</w:t>
      </w:r>
    </w:p>
    <w:p w:rsidR="00B20200" w:rsidRDefault="00B20200" w:rsidP="007D2926">
      <w:pPr>
        <w:spacing w:line="480" w:lineRule="auto"/>
      </w:pPr>
      <w:r>
        <w:lastRenderedPageBreak/>
        <w:t>Two phenomena stood out to me during this sequence. The first was the way this participant positioned her hand</w:t>
      </w:r>
      <w:r w:rsidR="00CA08EE">
        <w:t>s</w:t>
      </w:r>
      <w:r>
        <w:t xml:space="preserve"> between the camera and herself (this lesson also occurred virtually due to COVID-19). Of course, this was in part so we, the audience, could see her thinking. The point of interest, however, was the ways in which the participant gazed at her hands during her explanation. Her hands acted as a landing site</w:t>
      </w:r>
      <w:r w:rsidR="00083286">
        <w:t xml:space="preserve">, constructing, to quote Gins and Arakawa (2002), the mathematics to “exist in the tense of </w:t>
      </w:r>
      <w:r w:rsidR="00083286" w:rsidRPr="00083286">
        <w:rPr>
          <w:i/>
          <w:iCs/>
        </w:rPr>
        <w:t>what if</w:t>
      </w:r>
      <w:r w:rsidR="00083286">
        <w:t>” (p. 29, original emphasis). That is, the hands acted as a landing site as the participant tentatively, provisionally offered a solution. This is elegantly captured in panel (c), in which the participant describes the resulting quotient as a linear function. Despite having “divided off” a linear function, the participant keeps both linear functions in play through hand gesture, depicted here with the hands crossed in an ‘X’.</w:t>
      </w:r>
      <w:r w:rsidR="001E068E">
        <w:t xml:space="preserve"> Again, we see the hand used as a means of holding in place; in this sense, the participant is not concerned so much with the precision of the solution as its qualities.</w:t>
      </w:r>
    </w:p>
    <w:p w:rsidR="00E80B60" w:rsidRDefault="00E80B60" w:rsidP="007D2926">
      <w:pPr>
        <w:spacing w:line="480" w:lineRule="auto"/>
      </w:pPr>
    </w:p>
    <w:p w:rsidR="00E609DD" w:rsidRPr="00DA7DB7" w:rsidRDefault="00E815DD" w:rsidP="00750BB4">
      <w:pPr>
        <w:spacing w:line="480" w:lineRule="auto"/>
        <w:jc w:val="center"/>
        <w:rPr>
          <w:b/>
          <w:bCs/>
        </w:rPr>
      </w:pPr>
      <w:r>
        <w:rPr>
          <w:b/>
          <w:bCs/>
        </w:rPr>
        <w:t xml:space="preserve">Concluding </w:t>
      </w:r>
      <w:proofErr w:type="gramStart"/>
      <w:r>
        <w:rPr>
          <w:b/>
          <w:bCs/>
        </w:rPr>
        <w:t>Remarks</w:t>
      </w:r>
      <w:r w:rsidR="007C222E">
        <w:rPr>
          <w:b/>
          <w:bCs/>
        </w:rPr>
        <w:t>:</w:t>
      </w:r>
      <w:r w:rsidR="00822324">
        <w:rPr>
          <w:b/>
          <w:bCs/>
        </w:rPr>
        <w:t>Siting</w:t>
      </w:r>
      <w:proofErr w:type="gramEnd"/>
      <w:r w:rsidR="00822324">
        <w:rPr>
          <w:b/>
          <w:bCs/>
        </w:rPr>
        <w:t xml:space="preserve"> Tentativeness in the Mathematics Classroom</w:t>
      </w:r>
    </w:p>
    <w:p w:rsidR="003C60DC" w:rsidRDefault="00BD62D1" w:rsidP="007C222E">
      <w:pPr>
        <w:spacing w:line="480" w:lineRule="auto"/>
      </w:pPr>
      <w:r>
        <w:tab/>
      </w:r>
      <w:r w:rsidR="007C222E">
        <w:t xml:space="preserve">In Markle (2022), I drew on work in mathematics education (Proulx, 2019) and other areas, such as ecological psychology (Barons, 2008) and architectural theory (Gins &amp; Arakawa, 2002), to characterize moments of tentativeness in the mathematics classroom. Specifically, I suggested tentativeness as both an emergent phenomenon arising out of problem solving and posing and an affordance in the environment to elicit student action. In </w:t>
      </w:r>
      <w:r w:rsidR="001E068E">
        <w:t>the present study</w:t>
      </w:r>
      <w:r w:rsidR="007C222E">
        <w:t xml:space="preserve">, I </w:t>
      </w:r>
      <w:r w:rsidR="00305718">
        <w:t xml:space="preserve">elaborate on this idea and suggest a focus on the hand as one means of siting tentativeness—that is, taking note of it—in the classroom. In both of the cases described above, the hand is a focal point. In one sense, the hand is an emergent quality of problem solving and posing, literally embodying solutions that are “felt to be posed, suggested, and not imposed as optimal and final” </w:t>
      </w:r>
      <w:r w:rsidR="00305718">
        <w:lastRenderedPageBreak/>
        <w:t xml:space="preserve">(Proulx, 2019, </w:t>
      </w:r>
      <w:r w:rsidR="00A93659">
        <w:t>p. 14). In another sense, the hand bec</w:t>
      </w:r>
      <w:r w:rsidR="001E068E">
        <w:t>omes</w:t>
      </w:r>
      <w:r w:rsidR="00A93659">
        <w:t xml:space="preserve"> an affordance for action, as in the case of the participant from the first case study, who noted it was her hands that allowed her to visualize dynamic geometric relationships. In both instances, I argue, the hand</w:t>
      </w:r>
      <w:r w:rsidR="00355CFD">
        <w:t xml:space="preserve"> was a site of awareness that, to paraphrase Gins and Arakawa (2002), allowed </w:t>
      </w:r>
      <w:r w:rsidR="00DC3BF8">
        <w:t>for the initiating of tentatives and the composing of provisional actions (p. 43). Looking at all the ways we might site tentativeness in the classroom has important implications for learning and doing mathematics.</w:t>
      </w:r>
    </w:p>
    <w:p w:rsidR="00E80B60" w:rsidRDefault="00E80B60" w:rsidP="007C222E">
      <w:pPr>
        <w:spacing w:line="480" w:lineRule="auto"/>
      </w:pPr>
    </w:p>
    <w:p w:rsidR="00E80B60" w:rsidRDefault="00E80B60" w:rsidP="007C222E">
      <w:pPr>
        <w:spacing w:line="480" w:lineRule="auto"/>
      </w:pPr>
    </w:p>
    <w:p w:rsidR="00F100F4" w:rsidRDefault="00F100F4"/>
    <w:p w:rsidR="00F100F4" w:rsidRPr="003F0518" w:rsidRDefault="00FB58E7" w:rsidP="00F100F4">
      <w:pPr>
        <w:spacing w:line="480" w:lineRule="auto"/>
        <w:jc w:val="center"/>
        <w:rPr>
          <w:b/>
          <w:bCs/>
        </w:rPr>
      </w:pPr>
      <w:r>
        <w:rPr>
          <w:b/>
          <w:bCs/>
        </w:rPr>
        <w:t>Bibliography</w:t>
      </w:r>
    </w:p>
    <w:p w:rsidR="00335EFE" w:rsidRPr="00144794" w:rsidRDefault="00335EFE" w:rsidP="00335EFE">
      <w:pPr>
        <w:spacing w:line="480" w:lineRule="auto"/>
        <w:ind w:left="480" w:hanging="480"/>
        <w:rPr>
          <w:rFonts w:eastAsia="Times New Roman"/>
        </w:rPr>
      </w:pPr>
      <w:r w:rsidRPr="00144794">
        <w:rPr>
          <w:rFonts w:eastAsia="Times New Roman"/>
        </w:rPr>
        <w:t xml:space="preserve">Abrahamson, D. (2009). Embodied design: Constructing means for constructing meaning. </w:t>
      </w:r>
      <w:r w:rsidRPr="00144794">
        <w:rPr>
          <w:rFonts w:eastAsia="Times New Roman"/>
          <w:i/>
          <w:iCs/>
        </w:rPr>
        <w:t>Educational Studies in Mathematics</w:t>
      </w:r>
      <w:r w:rsidRPr="00144794">
        <w:rPr>
          <w:rFonts w:eastAsia="Times New Roman"/>
        </w:rPr>
        <w:t xml:space="preserve">, </w:t>
      </w:r>
      <w:r w:rsidRPr="00144794">
        <w:rPr>
          <w:rFonts w:eastAsia="Times New Roman"/>
          <w:i/>
          <w:iCs/>
        </w:rPr>
        <w:t>70</w:t>
      </w:r>
      <w:r w:rsidRPr="00144794">
        <w:rPr>
          <w:rFonts w:eastAsia="Times New Roman"/>
        </w:rPr>
        <w:t>, 27–47.</w:t>
      </w:r>
    </w:p>
    <w:p w:rsidR="00335EFE" w:rsidRPr="00144794" w:rsidRDefault="00335EFE" w:rsidP="00335EFE">
      <w:pPr>
        <w:spacing w:line="480" w:lineRule="auto"/>
        <w:ind w:left="480" w:hanging="480"/>
        <w:rPr>
          <w:rFonts w:eastAsia="Times New Roman"/>
        </w:rPr>
      </w:pPr>
      <w:r w:rsidRPr="00144794">
        <w:rPr>
          <w:rFonts w:eastAsia="Times New Roman"/>
        </w:rPr>
        <w:t xml:space="preserve">Baron, R. (2013). Wayfinding through landing sites and architectural bodies: Exploring the roles of trajectoriness, affectivatoriness, and imaging along. </w:t>
      </w:r>
      <w:r w:rsidRPr="00144794">
        <w:rPr>
          <w:rFonts w:eastAsia="Times New Roman"/>
          <w:i/>
          <w:iCs/>
        </w:rPr>
        <w:t>Inflexions</w:t>
      </w:r>
      <w:r w:rsidRPr="00144794">
        <w:rPr>
          <w:rFonts w:eastAsia="Times New Roman"/>
        </w:rPr>
        <w:t xml:space="preserve">, </w:t>
      </w:r>
      <w:r w:rsidRPr="00144794">
        <w:rPr>
          <w:rFonts w:eastAsia="Times New Roman"/>
          <w:i/>
          <w:iCs/>
        </w:rPr>
        <w:t>6</w:t>
      </w:r>
      <w:r w:rsidRPr="00144794">
        <w:rPr>
          <w:rFonts w:eastAsia="Times New Roman"/>
        </w:rPr>
        <w:t>, 270–285.</w:t>
      </w:r>
    </w:p>
    <w:p w:rsidR="00335EFE" w:rsidRPr="00144794" w:rsidRDefault="00335EFE" w:rsidP="00335EFE">
      <w:pPr>
        <w:spacing w:line="480" w:lineRule="auto"/>
        <w:ind w:left="480" w:hanging="480"/>
        <w:rPr>
          <w:rFonts w:eastAsia="Times New Roman"/>
        </w:rPr>
      </w:pPr>
      <w:r w:rsidRPr="00144794">
        <w:rPr>
          <w:rFonts w:eastAsia="Times New Roman"/>
        </w:rPr>
        <w:t xml:space="preserve">Baron, R. M. (2008). The Role of tentativeness in perceiving architecture and art: A far-from-equilibrium ecological perspective. </w:t>
      </w:r>
      <w:r w:rsidRPr="00144794">
        <w:rPr>
          <w:rFonts w:eastAsia="Times New Roman"/>
          <w:i/>
          <w:iCs/>
        </w:rPr>
        <w:t>Ecological Psychology</w:t>
      </w:r>
      <w:r w:rsidRPr="00144794">
        <w:rPr>
          <w:rFonts w:eastAsia="Times New Roman"/>
        </w:rPr>
        <w:t xml:space="preserve">, </w:t>
      </w:r>
      <w:r w:rsidRPr="00144794">
        <w:rPr>
          <w:rFonts w:eastAsia="Times New Roman"/>
          <w:i/>
          <w:iCs/>
        </w:rPr>
        <w:t>20</w:t>
      </w:r>
      <w:r w:rsidRPr="00144794">
        <w:rPr>
          <w:rFonts w:eastAsia="Times New Roman"/>
        </w:rPr>
        <w:t>, 328–342.</w:t>
      </w:r>
    </w:p>
    <w:p w:rsidR="00335EFE" w:rsidRPr="00144794" w:rsidRDefault="00335EFE" w:rsidP="00335EFE">
      <w:pPr>
        <w:spacing w:line="480" w:lineRule="auto"/>
        <w:ind w:left="480" w:hanging="480"/>
        <w:rPr>
          <w:rFonts w:eastAsia="Times New Roman"/>
        </w:rPr>
      </w:pPr>
      <w:r w:rsidRPr="00144794">
        <w:rPr>
          <w:rFonts w:eastAsia="Times New Roman"/>
        </w:rPr>
        <w:t xml:space="preserve">Chorney, S., Sinclair, N., &amp; Coles, A. (2018). </w:t>
      </w:r>
      <w:r w:rsidRPr="00144794">
        <w:rPr>
          <w:rFonts w:eastAsia="Times New Roman"/>
          <w:i/>
          <w:iCs/>
        </w:rPr>
        <w:t>Relation, ritual and romance: Rethinking interest in mathematics learning</w:t>
      </w:r>
      <w:r w:rsidRPr="00144794">
        <w:rPr>
          <w:rFonts w:eastAsia="Times New Roman"/>
        </w:rPr>
        <w:t>. Proceedings of the 42nd Conference of the Canadian Mathematics Education Study Group (CMESG), Squamish, Canada.</w:t>
      </w:r>
    </w:p>
    <w:p w:rsidR="00335EFE" w:rsidRPr="00144794" w:rsidRDefault="00335EFE" w:rsidP="00335EFE">
      <w:pPr>
        <w:spacing w:line="480" w:lineRule="auto"/>
        <w:ind w:left="480" w:hanging="480"/>
        <w:rPr>
          <w:rFonts w:eastAsia="Times New Roman"/>
        </w:rPr>
      </w:pPr>
      <w:r w:rsidRPr="00144794">
        <w:rPr>
          <w:rFonts w:eastAsia="Times New Roman"/>
        </w:rPr>
        <w:t xml:space="preserve">Davis, B. (1995). Why teach mathematics? Mathematics education and enactivist theory. </w:t>
      </w:r>
      <w:r w:rsidRPr="00144794">
        <w:rPr>
          <w:rFonts w:eastAsia="Times New Roman"/>
          <w:i/>
          <w:iCs/>
        </w:rPr>
        <w:t>For the Learning of Mathematics</w:t>
      </w:r>
      <w:r w:rsidRPr="00144794">
        <w:rPr>
          <w:rFonts w:eastAsia="Times New Roman"/>
        </w:rPr>
        <w:t xml:space="preserve">, </w:t>
      </w:r>
      <w:r w:rsidRPr="00144794">
        <w:rPr>
          <w:rFonts w:eastAsia="Times New Roman"/>
          <w:i/>
          <w:iCs/>
        </w:rPr>
        <w:t>15</w:t>
      </w:r>
      <w:r w:rsidRPr="00144794">
        <w:rPr>
          <w:rFonts w:eastAsia="Times New Roman"/>
        </w:rPr>
        <w:t>(2), 2–9.</w:t>
      </w:r>
    </w:p>
    <w:p w:rsidR="00335EFE" w:rsidRPr="00144794" w:rsidRDefault="00335EFE" w:rsidP="00335EFE">
      <w:pPr>
        <w:spacing w:line="480" w:lineRule="auto"/>
        <w:ind w:left="480" w:hanging="480"/>
        <w:rPr>
          <w:rFonts w:eastAsia="Times New Roman"/>
        </w:rPr>
      </w:pPr>
      <w:r w:rsidRPr="00144794">
        <w:rPr>
          <w:rFonts w:eastAsia="Times New Roman"/>
        </w:rPr>
        <w:t xml:space="preserve">Davis, B. (1996). </w:t>
      </w:r>
      <w:r w:rsidRPr="00144794">
        <w:rPr>
          <w:rFonts w:eastAsia="Times New Roman"/>
          <w:i/>
          <w:iCs/>
        </w:rPr>
        <w:t>Teaching Mathematics</w:t>
      </w:r>
      <w:r w:rsidRPr="00144794">
        <w:rPr>
          <w:rFonts w:eastAsia="Times New Roman"/>
        </w:rPr>
        <w:t>. Garland.</w:t>
      </w:r>
    </w:p>
    <w:p w:rsidR="00335EFE" w:rsidRPr="00144794" w:rsidRDefault="00335EFE" w:rsidP="00335EFE">
      <w:pPr>
        <w:spacing w:line="480" w:lineRule="auto"/>
        <w:ind w:left="480" w:hanging="480"/>
        <w:rPr>
          <w:rFonts w:eastAsia="Times New Roman"/>
        </w:rPr>
      </w:pPr>
      <w:r w:rsidRPr="00144794">
        <w:rPr>
          <w:rFonts w:eastAsia="Times New Roman"/>
        </w:rPr>
        <w:t xml:space="preserve">Davis, B., Francis, K., Towers, J., &amp; Markle, J. (2022). </w:t>
      </w:r>
      <w:r w:rsidRPr="00144794">
        <w:rPr>
          <w:rFonts w:eastAsia="Times New Roman"/>
          <w:i/>
          <w:iCs/>
        </w:rPr>
        <w:t>Speaking of learning: Exploring constraints of native languages on mathematics pedagogy</w:t>
      </w:r>
      <w:r w:rsidRPr="00144794">
        <w:rPr>
          <w:rFonts w:eastAsia="Times New Roman"/>
        </w:rPr>
        <w:t>.</w:t>
      </w:r>
      <w:r>
        <w:rPr>
          <w:rFonts w:eastAsia="Times New Roman"/>
        </w:rPr>
        <w:t xml:space="preserve"> Manuscript in preparation.</w:t>
      </w:r>
    </w:p>
    <w:p w:rsidR="00335EFE" w:rsidRPr="00144794" w:rsidRDefault="00335EFE" w:rsidP="00335EFE">
      <w:pPr>
        <w:spacing w:line="480" w:lineRule="auto"/>
        <w:ind w:left="480" w:hanging="480"/>
        <w:rPr>
          <w:rFonts w:eastAsia="Times New Roman"/>
        </w:rPr>
      </w:pPr>
      <w:r w:rsidRPr="00D63AC2">
        <w:rPr>
          <w:rFonts w:eastAsia="Times New Roman"/>
          <w:lang w:val="en-CA"/>
        </w:rPr>
        <w:lastRenderedPageBreak/>
        <w:t xml:space="preserve">de Freitas, E., &amp; Sinclair, N. (2014). </w:t>
      </w:r>
      <w:r w:rsidRPr="00144794">
        <w:rPr>
          <w:rFonts w:eastAsia="Times New Roman"/>
          <w:i/>
          <w:iCs/>
        </w:rPr>
        <w:t>Mathematics and the Body: Material Entanglements in the Classroom</w:t>
      </w:r>
      <w:r w:rsidRPr="00144794">
        <w:rPr>
          <w:rFonts w:eastAsia="Times New Roman"/>
        </w:rPr>
        <w:t>. Cambridge University Press.</w:t>
      </w:r>
    </w:p>
    <w:p w:rsidR="00335EFE" w:rsidRPr="00144794" w:rsidRDefault="00335EFE" w:rsidP="00335EFE">
      <w:pPr>
        <w:spacing w:line="480" w:lineRule="auto"/>
        <w:ind w:left="480" w:hanging="480"/>
        <w:rPr>
          <w:rFonts w:eastAsia="Times New Roman"/>
        </w:rPr>
      </w:pPr>
      <w:r w:rsidRPr="00144794">
        <w:rPr>
          <w:rFonts w:eastAsia="Times New Roman"/>
        </w:rPr>
        <w:t xml:space="preserve">Gibson, J. J. (1979). </w:t>
      </w:r>
      <w:r w:rsidRPr="00144794">
        <w:rPr>
          <w:rFonts w:eastAsia="Times New Roman"/>
          <w:i/>
          <w:iCs/>
        </w:rPr>
        <w:t>The Ecological Approach to Visual Perception</w:t>
      </w:r>
      <w:r w:rsidRPr="00144794">
        <w:rPr>
          <w:rFonts w:eastAsia="Times New Roman"/>
        </w:rPr>
        <w:t>. Houghton-Mifflin.</w:t>
      </w:r>
    </w:p>
    <w:p w:rsidR="00335EFE" w:rsidRPr="00144794" w:rsidRDefault="00335EFE" w:rsidP="00335EFE">
      <w:pPr>
        <w:spacing w:line="480" w:lineRule="auto"/>
        <w:ind w:left="480" w:hanging="480"/>
        <w:rPr>
          <w:rFonts w:eastAsia="Times New Roman"/>
        </w:rPr>
      </w:pPr>
      <w:r w:rsidRPr="00144794">
        <w:rPr>
          <w:rFonts w:eastAsia="Times New Roman"/>
        </w:rPr>
        <w:t xml:space="preserve">Gins, M. &amp; Arakawa. (2002). </w:t>
      </w:r>
      <w:r w:rsidRPr="00144794">
        <w:rPr>
          <w:rFonts w:eastAsia="Times New Roman"/>
          <w:i/>
          <w:iCs/>
        </w:rPr>
        <w:t>Architectural body</w:t>
      </w:r>
      <w:r w:rsidRPr="00144794">
        <w:rPr>
          <w:rFonts w:eastAsia="Times New Roman"/>
        </w:rPr>
        <w:t>. University of Alabama Press.</w:t>
      </w:r>
    </w:p>
    <w:p w:rsidR="00335EFE" w:rsidRPr="00144794" w:rsidRDefault="00335EFE" w:rsidP="00335EFE">
      <w:pPr>
        <w:spacing w:line="480" w:lineRule="auto"/>
        <w:ind w:left="480" w:hanging="480"/>
        <w:rPr>
          <w:rFonts w:eastAsia="Times New Roman"/>
        </w:rPr>
      </w:pPr>
      <w:r w:rsidRPr="00144794">
        <w:rPr>
          <w:rFonts w:eastAsia="Times New Roman"/>
        </w:rPr>
        <w:t xml:space="preserve">Kääntä, L. (2012). Teachers’ embodied allocations in instructional interaction. </w:t>
      </w:r>
      <w:r w:rsidRPr="00144794">
        <w:rPr>
          <w:rFonts w:eastAsia="Times New Roman"/>
          <w:i/>
          <w:iCs/>
        </w:rPr>
        <w:t>Classroom Discourse</w:t>
      </w:r>
      <w:r w:rsidRPr="00144794">
        <w:rPr>
          <w:rFonts w:eastAsia="Times New Roman"/>
        </w:rPr>
        <w:t xml:space="preserve">, </w:t>
      </w:r>
      <w:r w:rsidRPr="00144794">
        <w:rPr>
          <w:rFonts w:eastAsia="Times New Roman"/>
          <w:i/>
          <w:iCs/>
        </w:rPr>
        <w:t>3</w:t>
      </w:r>
      <w:r w:rsidRPr="00144794">
        <w:rPr>
          <w:rFonts w:eastAsia="Times New Roman"/>
        </w:rPr>
        <w:t>(2), 166–186.</w:t>
      </w:r>
    </w:p>
    <w:p w:rsidR="00335EFE" w:rsidRPr="00144794" w:rsidRDefault="00335EFE" w:rsidP="00335EFE">
      <w:pPr>
        <w:spacing w:line="480" w:lineRule="auto"/>
        <w:ind w:left="480" w:hanging="480"/>
        <w:rPr>
          <w:rFonts w:eastAsia="Times New Roman"/>
        </w:rPr>
      </w:pPr>
      <w:r w:rsidRPr="00144794">
        <w:rPr>
          <w:rFonts w:eastAsia="Times New Roman"/>
        </w:rPr>
        <w:t xml:space="preserve">Lewis, T. E. (2013). Studied perception and a phenomenology of bodily gesturality. In C. Mayo (Ed.), </w:t>
      </w:r>
      <w:r w:rsidRPr="00144794">
        <w:rPr>
          <w:rFonts w:eastAsia="Times New Roman"/>
          <w:i/>
          <w:iCs/>
        </w:rPr>
        <w:t>Philosophy of education yearbook 2013</w:t>
      </w:r>
      <w:r w:rsidRPr="00144794">
        <w:rPr>
          <w:rFonts w:eastAsia="Times New Roman"/>
        </w:rPr>
        <w:t xml:space="preserve"> (pp. 341–349). University of Illinois at Urbana-Champaign/Philosophy of Education Society.</w:t>
      </w:r>
    </w:p>
    <w:p w:rsidR="00335EFE" w:rsidRPr="00144794" w:rsidRDefault="00335EFE" w:rsidP="00335EFE">
      <w:pPr>
        <w:spacing w:line="480" w:lineRule="auto"/>
        <w:ind w:left="480" w:hanging="480"/>
        <w:rPr>
          <w:rFonts w:eastAsia="Times New Roman"/>
        </w:rPr>
      </w:pPr>
      <w:r w:rsidRPr="00144794">
        <w:rPr>
          <w:rFonts w:eastAsia="Times New Roman"/>
        </w:rPr>
        <w:t xml:space="preserve">Markle, J. (2021). Enactive hermeneutics as an interpretive framework in the mathematics classroom. </w:t>
      </w:r>
      <w:r w:rsidRPr="00144794">
        <w:rPr>
          <w:rFonts w:eastAsia="Times New Roman"/>
          <w:i/>
          <w:iCs/>
        </w:rPr>
        <w:t>Philosophy of Mathematics Education Journal</w:t>
      </w:r>
      <w:r w:rsidRPr="00144794">
        <w:rPr>
          <w:rFonts w:eastAsia="Times New Roman"/>
        </w:rPr>
        <w:t xml:space="preserve">, </w:t>
      </w:r>
      <w:r w:rsidRPr="00144794">
        <w:rPr>
          <w:rFonts w:eastAsia="Times New Roman"/>
          <w:i/>
          <w:iCs/>
        </w:rPr>
        <w:t>37</w:t>
      </w:r>
      <w:r w:rsidRPr="00144794">
        <w:rPr>
          <w:rFonts w:eastAsia="Times New Roman"/>
        </w:rPr>
        <w:t>(August), 1–27.</w:t>
      </w:r>
    </w:p>
    <w:p w:rsidR="00335EFE" w:rsidRPr="00144794" w:rsidRDefault="00335EFE" w:rsidP="00335EFE">
      <w:pPr>
        <w:spacing w:line="480" w:lineRule="auto"/>
        <w:ind w:left="480" w:hanging="480"/>
        <w:rPr>
          <w:rFonts w:eastAsia="Times New Roman"/>
        </w:rPr>
      </w:pPr>
      <w:r w:rsidRPr="00144794">
        <w:rPr>
          <w:rFonts w:eastAsia="Times New Roman"/>
        </w:rPr>
        <w:t xml:space="preserve">Markle, J. (2022). Tentativeness as strategy and affordance in visualization. </w:t>
      </w:r>
      <w:r w:rsidRPr="00144794">
        <w:rPr>
          <w:rFonts w:eastAsia="Times New Roman"/>
          <w:i/>
          <w:iCs/>
        </w:rPr>
        <w:t>For the Learning of Mathematics</w:t>
      </w:r>
      <w:r w:rsidRPr="00144794">
        <w:rPr>
          <w:rFonts w:eastAsia="Times New Roman"/>
        </w:rPr>
        <w:t xml:space="preserve">, </w:t>
      </w:r>
      <w:r w:rsidRPr="00144794">
        <w:rPr>
          <w:rFonts w:eastAsia="Times New Roman"/>
          <w:i/>
          <w:iCs/>
        </w:rPr>
        <w:t>42</w:t>
      </w:r>
      <w:r w:rsidRPr="00144794">
        <w:rPr>
          <w:rFonts w:eastAsia="Times New Roman"/>
        </w:rPr>
        <w:t>(1), 20–24.</w:t>
      </w:r>
    </w:p>
    <w:p w:rsidR="00335EFE" w:rsidRPr="00144794" w:rsidRDefault="00335EFE" w:rsidP="00335EFE">
      <w:pPr>
        <w:spacing w:line="480" w:lineRule="auto"/>
        <w:ind w:left="480" w:hanging="480"/>
        <w:rPr>
          <w:rFonts w:eastAsia="Times New Roman"/>
        </w:rPr>
      </w:pPr>
      <w:r w:rsidRPr="00144794">
        <w:rPr>
          <w:rFonts w:eastAsia="Times New Roman"/>
        </w:rPr>
        <w:t xml:space="preserve">Merleau-Ponty, M. (2012). </w:t>
      </w:r>
      <w:r w:rsidRPr="00144794">
        <w:rPr>
          <w:rFonts w:eastAsia="Times New Roman"/>
          <w:i/>
          <w:iCs/>
        </w:rPr>
        <w:t>Phenomenology of perception</w:t>
      </w:r>
      <w:r w:rsidRPr="00144794">
        <w:rPr>
          <w:rFonts w:eastAsia="Times New Roman"/>
        </w:rPr>
        <w:t xml:space="preserve"> (D. A. Landes, Trans.). Routledge.</w:t>
      </w:r>
    </w:p>
    <w:p w:rsidR="00335EFE" w:rsidRPr="00144794" w:rsidRDefault="00335EFE" w:rsidP="00335EFE">
      <w:pPr>
        <w:spacing w:line="480" w:lineRule="auto"/>
        <w:ind w:left="480" w:hanging="480"/>
        <w:rPr>
          <w:rFonts w:eastAsia="Times New Roman"/>
        </w:rPr>
      </w:pPr>
      <w:r w:rsidRPr="00144794">
        <w:rPr>
          <w:rFonts w:eastAsia="Times New Roman"/>
        </w:rPr>
        <w:t xml:space="preserve">Nemirovsky, R., &amp; Ferrara, F. (2009). Mathematical imagination and embodied cognition. </w:t>
      </w:r>
      <w:r w:rsidRPr="00144794">
        <w:rPr>
          <w:rFonts w:eastAsia="Times New Roman"/>
          <w:i/>
          <w:iCs/>
        </w:rPr>
        <w:t>Educational Studies in Mathematics</w:t>
      </w:r>
      <w:r w:rsidRPr="00144794">
        <w:rPr>
          <w:rFonts w:eastAsia="Times New Roman"/>
        </w:rPr>
        <w:t xml:space="preserve">, </w:t>
      </w:r>
      <w:r w:rsidRPr="00144794">
        <w:rPr>
          <w:rFonts w:eastAsia="Times New Roman"/>
          <w:i/>
          <w:iCs/>
        </w:rPr>
        <w:t>70</w:t>
      </w:r>
      <w:r w:rsidRPr="00144794">
        <w:rPr>
          <w:rFonts w:eastAsia="Times New Roman"/>
        </w:rPr>
        <w:t>, 159–174.</w:t>
      </w:r>
    </w:p>
    <w:p w:rsidR="00693BC1" w:rsidRPr="00693BC1" w:rsidRDefault="00693BC1" w:rsidP="00693BC1">
      <w:pPr>
        <w:spacing w:line="480" w:lineRule="auto"/>
        <w:ind w:left="480" w:hanging="480"/>
        <w:rPr>
          <w:rFonts w:eastAsia="Times New Roman"/>
          <w:lang w:val="en-CA" w:eastAsia="zh-CN"/>
        </w:rPr>
      </w:pPr>
      <w:r w:rsidRPr="00693BC1">
        <w:rPr>
          <w:rFonts w:eastAsia="Times New Roman"/>
          <w:lang w:val="en-CA" w:eastAsia="zh-CN"/>
        </w:rPr>
        <w:t xml:space="preserve">Nicolet, J. L. (2007). </w:t>
      </w:r>
      <w:r w:rsidRPr="00693BC1">
        <w:rPr>
          <w:rFonts w:eastAsia="Times New Roman"/>
          <w:i/>
          <w:iCs/>
          <w:lang w:val="en-CA" w:eastAsia="zh-CN"/>
        </w:rPr>
        <w:t>Animated geometry by J. L. Nicolet</w:t>
      </w:r>
      <w:r w:rsidRPr="00693BC1">
        <w:rPr>
          <w:rFonts w:eastAsia="Times New Roman"/>
          <w:lang w:val="en-CA" w:eastAsia="zh-CN"/>
        </w:rPr>
        <w:t>. Educational Explorers Film Company.</w:t>
      </w:r>
    </w:p>
    <w:p w:rsidR="00335EFE" w:rsidRPr="00144794" w:rsidRDefault="00335EFE" w:rsidP="00335EFE">
      <w:pPr>
        <w:spacing w:line="480" w:lineRule="auto"/>
        <w:ind w:left="480" w:hanging="480"/>
        <w:rPr>
          <w:rFonts w:eastAsia="Times New Roman"/>
        </w:rPr>
      </w:pPr>
      <w:r w:rsidRPr="00144794">
        <w:rPr>
          <w:rFonts w:eastAsia="Times New Roman"/>
        </w:rPr>
        <w:t xml:space="preserve">Proulx, J. (2019). Mental mathematics under the lens: Strategies, oral mathematics, enactments of meaning. </w:t>
      </w:r>
      <w:r w:rsidRPr="00144794">
        <w:rPr>
          <w:rFonts w:eastAsia="Times New Roman"/>
          <w:i/>
          <w:iCs/>
        </w:rPr>
        <w:t>The Journal of Mathematical Behaviour</w:t>
      </w:r>
      <w:r w:rsidRPr="00144794">
        <w:rPr>
          <w:rFonts w:eastAsia="Times New Roman"/>
        </w:rPr>
        <w:t xml:space="preserve">, </w:t>
      </w:r>
      <w:r w:rsidRPr="00144794">
        <w:rPr>
          <w:rFonts w:eastAsia="Times New Roman"/>
          <w:i/>
          <w:iCs/>
        </w:rPr>
        <w:t>56</w:t>
      </w:r>
      <w:r w:rsidRPr="00144794">
        <w:rPr>
          <w:rFonts w:eastAsia="Times New Roman"/>
        </w:rPr>
        <w:t>, 1–16.</w:t>
      </w:r>
    </w:p>
    <w:p w:rsidR="00335EFE" w:rsidRPr="00144794" w:rsidRDefault="00335EFE" w:rsidP="00335EFE">
      <w:pPr>
        <w:spacing w:line="480" w:lineRule="auto"/>
        <w:ind w:left="480" w:hanging="480"/>
        <w:rPr>
          <w:rFonts w:eastAsia="Times New Roman"/>
        </w:rPr>
      </w:pPr>
      <w:r w:rsidRPr="00144794">
        <w:rPr>
          <w:rFonts w:eastAsia="Times New Roman"/>
        </w:rPr>
        <w:t xml:space="preserve">Radford, L. (2014). Towards an embodied, cultural, and material conception of mathematics cognition. </w:t>
      </w:r>
      <w:r w:rsidRPr="00144794">
        <w:rPr>
          <w:rFonts w:eastAsia="Times New Roman"/>
          <w:i/>
          <w:iCs/>
        </w:rPr>
        <w:t>ZDM: The International Journal of Mathematics Education</w:t>
      </w:r>
      <w:r w:rsidRPr="00144794">
        <w:rPr>
          <w:rFonts w:eastAsia="Times New Roman"/>
        </w:rPr>
        <w:t xml:space="preserve">, </w:t>
      </w:r>
      <w:r w:rsidRPr="00144794">
        <w:rPr>
          <w:rFonts w:eastAsia="Times New Roman"/>
          <w:i/>
          <w:iCs/>
        </w:rPr>
        <w:t>46</w:t>
      </w:r>
      <w:r w:rsidRPr="00144794">
        <w:rPr>
          <w:rFonts w:eastAsia="Times New Roman"/>
        </w:rPr>
        <w:t>(3), 349–361.</w:t>
      </w:r>
    </w:p>
    <w:p w:rsidR="00335EFE" w:rsidRPr="00144794" w:rsidRDefault="00335EFE" w:rsidP="00335EFE">
      <w:pPr>
        <w:spacing w:line="480" w:lineRule="auto"/>
        <w:ind w:left="480" w:hanging="480"/>
        <w:rPr>
          <w:rFonts w:eastAsia="Times New Roman"/>
        </w:rPr>
      </w:pPr>
      <w:r w:rsidRPr="00144794">
        <w:rPr>
          <w:rFonts w:eastAsia="Times New Roman"/>
        </w:rPr>
        <w:t xml:space="preserve">Read, C., &amp;Szokolszky, A. (n.d.). Ecological psychology and enactivism: Perceptually-guided action vs. Sensation-based enaction. </w:t>
      </w:r>
      <w:r w:rsidRPr="00144794">
        <w:rPr>
          <w:rFonts w:eastAsia="Times New Roman"/>
          <w:i/>
          <w:iCs/>
        </w:rPr>
        <w:t>Frontiers in Psychology</w:t>
      </w:r>
      <w:r w:rsidRPr="00144794">
        <w:rPr>
          <w:rFonts w:eastAsia="Times New Roman"/>
        </w:rPr>
        <w:t xml:space="preserve">, </w:t>
      </w:r>
      <w:r w:rsidRPr="00144794">
        <w:rPr>
          <w:rFonts w:eastAsia="Times New Roman"/>
          <w:i/>
          <w:iCs/>
        </w:rPr>
        <w:t>11</w:t>
      </w:r>
      <w:r w:rsidRPr="00144794">
        <w:rPr>
          <w:rFonts w:eastAsia="Times New Roman"/>
        </w:rPr>
        <w:t>(Article 1270), 1–19.</w:t>
      </w:r>
    </w:p>
    <w:p w:rsidR="00335EFE" w:rsidRPr="00144794" w:rsidRDefault="00335EFE" w:rsidP="00335EFE">
      <w:pPr>
        <w:spacing w:line="480" w:lineRule="auto"/>
        <w:ind w:left="480" w:hanging="480"/>
        <w:rPr>
          <w:rFonts w:eastAsia="Times New Roman"/>
        </w:rPr>
      </w:pPr>
      <w:r w:rsidRPr="00144794">
        <w:rPr>
          <w:rFonts w:eastAsia="Times New Roman"/>
        </w:rPr>
        <w:lastRenderedPageBreak/>
        <w:t xml:space="preserve">Reid, D. (2014). The coherence of enactivism and mathematics education research: A case study. </w:t>
      </w:r>
      <w:r w:rsidRPr="00144794">
        <w:rPr>
          <w:rFonts w:eastAsia="Times New Roman"/>
          <w:i/>
          <w:iCs/>
        </w:rPr>
        <w:t>AVANT</w:t>
      </w:r>
      <w:r w:rsidRPr="00144794">
        <w:rPr>
          <w:rFonts w:eastAsia="Times New Roman"/>
        </w:rPr>
        <w:t xml:space="preserve">, </w:t>
      </w:r>
      <w:r w:rsidRPr="00144794">
        <w:rPr>
          <w:rFonts w:eastAsia="Times New Roman"/>
          <w:i/>
          <w:iCs/>
        </w:rPr>
        <w:t>5</w:t>
      </w:r>
      <w:r w:rsidRPr="00144794">
        <w:rPr>
          <w:rFonts w:eastAsia="Times New Roman"/>
        </w:rPr>
        <w:t>(2).</w:t>
      </w:r>
    </w:p>
    <w:p w:rsidR="00335EFE" w:rsidRPr="00144794" w:rsidRDefault="00335EFE" w:rsidP="00335EFE">
      <w:pPr>
        <w:spacing w:line="480" w:lineRule="auto"/>
        <w:ind w:left="480" w:hanging="480"/>
        <w:rPr>
          <w:rFonts w:eastAsia="Times New Roman"/>
        </w:rPr>
      </w:pPr>
      <w:r w:rsidRPr="00144794">
        <w:rPr>
          <w:rFonts w:eastAsia="Times New Roman"/>
        </w:rPr>
        <w:t xml:space="preserve">Reid, D. A., &amp; Mgombelo, J. (2015). Survey of key concepts in enactivist theory and methodology. </w:t>
      </w:r>
      <w:r w:rsidRPr="00144794">
        <w:rPr>
          <w:rFonts w:eastAsia="Times New Roman"/>
          <w:i/>
          <w:iCs/>
        </w:rPr>
        <w:t>ZDM: The International Journal of Mathematics Education</w:t>
      </w:r>
      <w:r w:rsidRPr="00144794">
        <w:rPr>
          <w:rFonts w:eastAsia="Times New Roman"/>
        </w:rPr>
        <w:t xml:space="preserve">, </w:t>
      </w:r>
      <w:r w:rsidRPr="00144794">
        <w:rPr>
          <w:rFonts w:eastAsia="Times New Roman"/>
          <w:i/>
          <w:iCs/>
        </w:rPr>
        <w:t>47</w:t>
      </w:r>
      <w:r w:rsidRPr="00144794">
        <w:rPr>
          <w:rFonts w:eastAsia="Times New Roman"/>
        </w:rPr>
        <w:t>(2), 171–183.</w:t>
      </w:r>
    </w:p>
    <w:p w:rsidR="00335EFE" w:rsidRPr="00144794" w:rsidRDefault="00335EFE" w:rsidP="00335EFE">
      <w:pPr>
        <w:spacing w:line="480" w:lineRule="auto"/>
        <w:ind w:left="480" w:hanging="480"/>
        <w:rPr>
          <w:rFonts w:eastAsia="Times New Roman"/>
          <w:lang w:val="nl-NL"/>
        </w:rPr>
      </w:pPr>
      <w:r w:rsidRPr="00144794">
        <w:rPr>
          <w:rFonts w:eastAsia="Times New Roman"/>
        </w:rPr>
        <w:t xml:space="preserve">Rilke, R. M. (2014). </w:t>
      </w:r>
      <w:r w:rsidRPr="00144794">
        <w:rPr>
          <w:rFonts w:eastAsia="Times New Roman"/>
          <w:i/>
          <w:iCs/>
          <w:lang w:val="nl-NL"/>
        </w:rPr>
        <w:t>Auguste Rodin</w:t>
      </w:r>
      <w:r w:rsidRPr="00144794">
        <w:rPr>
          <w:rFonts w:eastAsia="Times New Roman"/>
          <w:lang w:val="nl-NL"/>
        </w:rPr>
        <w:t xml:space="preserve">. Project Gutenberg. </w:t>
      </w:r>
      <w:hyperlink r:id="rId10" w:history="1">
        <w:r w:rsidRPr="00144794">
          <w:rPr>
            <w:rFonts w:eastAsia="Times New Roman"/>
            <w:color w:val="0000FF"/>
            <w:u w:val="single"/>
            <w:lang w:val="nl-NL"/>
          </w:rPr>
          <w:t>https://www.gutenberg.org/files/45605/45605-h/45605-h.htm</w:t>
        </w:r>
      </w:hyperlink>
    </w:p>
    <w:p w:rsidR="00335EFE" w:rsidRPr="00144794" w:rsidRDefault="00335EFE" w:rsidP="00335EFE">
      <w:pPr>
        <w:spacing w:line="480" w:lineRule="auto"/>
        <w:ind w:left="480" w:hanging="480"/>
        <w:rPr>
          <w:rFonts w:eastAsia="Times New Roman"/>
        </w:rPr>
      </w:pPr>
      <w:r w:rsidRPr="00144794">
        <w:rPr>
          <w:rFonts w:eastAsia="Times New Roman"/>
          <w:lang w:val="nl-NL"/>
        </w:rPr>
        <w:t xml:space="preserve">Roth, W.-M., &amp; Thom, J. S. (2009). </w:t>
      </w:r>
      <w:r w:rsidRPr="00144794">
        <w:rPr>
          <w:rFonts w:eastAsia="Times New Roman"/>
        </w:rPr>
        <w:t xml:space="preserve">Bodily experience and mathematical conceptions: From classical views to a phenomenological reconceptualization. </w:t>
      </w:r>
      <w:r w:rsidRPr="00144794">
        <w:rPr>
          <w:rFonts w:eastAsia="Times New Roman"/>
          <w:i/>
          <w:iCs/>
        </w:rPr>
        <w:t>Educational Studies in Mathematics</w:t>
      </w:r>
      <w:r w:rsidRPr="00144794">
        <w:rPr>
          <w:rFonts w:eastAsia="Times New Roman"/>
        </w:rPr>
        <w:t xml:space="preserve">, </w:t>
      </w:r>
      <w:r w:rsidRPr="00144794">
        <w:rPr>
          <w:rFonts w:eastAsia="Times New Roman"/>
          <w:i/>
          <w:iCs/>
        </w:rPr>
        <w:t>70</w:t>
      </w:r>
      <w:r w:rsidRPr="00144794">
        <w:rPr>
          <w:rFonts w:eastAsia="Times New Roman"/>
        </w:rPr>
        <w:t>(2), 175–189.</w:t>
      </w:r>
    </w:p>
    <w:p w:rsidR="00335EFE" w:rsidRPr="00144794" w:rsidRDefault="00335EFE" w:rsidP="00335EFE">
      <w:pPr>
        <w:spacing w:line="480" w:lineRule="auto"/>
        <w:ind w:left="480" w:hanging="480"/>
        <w:rPr>
          <w:rFonts w:eastAsia="Times New Roman"/>
        </w:rPr>
      </w:pPr>
      <w:r w:rsidRPr="00144794">
        <w:rPr>
          <w:rFonts w:eastAsia="Times New Roman"/>
        </w:rPr>
        <w:t xml:space="preserve">Thompson, E. (2007). </w:t>
      </w:r>
      <w:r w:rsidRPr="00144794">
        <w:rPr>
          <w:rFonts w:eastAsia="Times New Roman"/>
          <w:i/>
          <w:iCs/>
        </w:rPr>
        <w:t>Mind in life: Biology phenomenology, and the sciences of the mind</w:t>
      </w:r>
      <w:r w:rsidRPr="00144794">
        <w:rPr>
          <w:rFonts w:eastAsia="Times New Roman"/>
        </w:rPr>
        <w:t>. Harvard University Press.</w:t>
      </w:r>
    </w:p>
    <w:p w:rsidR="00335EFE" w:rsidRPr="00144794" w:rsidRDefault="00335EFE" w:rsidP="00335EFE">
      <w:pPr>
        <w:spacing w:line="480" w:lineRule="auto"/>
        <w:ind w:left="480" w:hanging="480"/>
        <w:rPr>
          <w:rFonts w:eastAsia="Times New Roman"/>
        </w:rPr>
      </w:pPr>
      <w:r w:rsidRPr="00144794">
        <w:rPr>
          <w:rFonts w:eastAsia="Times New Roman"/>
        </w:rPr>
        <w:t xml:space="preserve">Thompson, E., &amp; Stapleton, M. (2009). Making sense of sense-making: Reflections on enactive and extended mind theories. </w:t>
      </w:r>
      <w:r w:rsidRPr="00144794">
        <w:rPr>
          <w:rFonts w:eastAsia="Times New Roman"/>
          <w:i/>
          <w:iCs/>
        </w:rPr>
        <w:t>Topoi</w:t>
      </w:r>
      <w:r w:rsidRPr="00144794">
        <w:rPr>
          <w:rFonts w:eastAsia="Times New Roman"/>
        </w:rPr>
        <w:t xml:space="preserve">, </w:t>
      </w:r>
      <w:r w:rsidRPr="00144794">
        <w:rPr>
          <w:rFonts w:eastAsia="Times New Roman"/>
          <w:i/>
          <w:iCs/>
        </w:rPr>
        <w:t>28</w:t>
      </w:r>
      <w:r w:rsidRPr="00144794">
        <w:rPr>
          <w:rFonts w:eastAsia="Times New Roman"/>
        </w:rPr>
        <w:t>, 23–30.</w:t>
      </w:r>
    </w:p>
    <w:p w:rsidR="00335EFE" w:rsidRPr="00144794" w:rsidRDefault="00335EFE" w:rsidP="00335EFE">
      <w:pPr>
        <w:spacing w:line="480" w:lineRule="auto"/>
        <w:ind w:left="480" w:hanging="480"/>
        <w:rPr>
          <w:rFonts w:eastAsia="Times New Roman"/>
        </w:rPr>
      </w:pPr>
      <w:r w:rsidRPr="00144794">
        <w:rPr>
          <w:rFonts w:eastAsia="Times New Roman"/>
        </w:rPr>
        <w:t xml:space="preserve">Todes, S. (2001). </w:t>
      </w:r>
      <w:r w:rsidRPr="00144794">
        <w:rPr>
          <w:rFonts w:eastAsia="Times New Roman"/>
          <w:i/>
          <w:iCs/>
        </w:rPr>
        <w:t>Body and world</w:t>
      </w:r>
      <w:r w:rsidRPr="00144794">
        <w:rPr>
          <w:rFonts w:eastAsia="Times New Roman"/>
        </w:rPr>
        <w:t>. The MIT Press.</w:t>
      </w:r>
    </w:p>
    <w:p w:rsidR="00335EFE" w:rsidRPr="00144794" w:rsidRDefault="00335EFE" w:rsidP="00335EFE">
      <w:pPr>
        <w:spacing w:line="480" w:lineRule="auto"/>
        <w:ind w:left="480" w:hanging="480"/>
        <w:rPr>
          <w:rFonts w:eastAsia="Times New Roman"/>
        </w:rPr>
      </w:pPr>
      <w:r w:rsidRPr="00144794">
        <w:rPr>
          <w:rFonts w:eastAsia="Times New Roman"/>
        </w:rPr>
        <w:t xml:space="preserve">Towers, J., &amp; Martin, L. C. (2015). Enactivism and the study of collectivity. </w:t>
      </w:r>
      <w:r w:rsidRPr="00144794">
        <w:rPr>
          <w:rFonts w:eastAsia="Times New Roman"/>
          <w:i/>
          <w:iCs/>
        </w:rPr>
        <w:t>ZDM: The International Journal of Mathematics Education</w:t>
      </w:r>
      <w:r w:rsidRPr="00144794">
        <w:rPr>
          <w:rFonts w:eastAsia="Times New Roman"/>
        </w:rPr>
        <w:t xml:space="preserve">, </w:t>
      </w:r>
      <w:r w:rsidRPr="00144794">
        <w:rPr>
          <w:rFonts w:eastAsia="Times New Roman"/>
          <w:i/>
          <w:iCs/>
        </w:rPr>
        <w:t>47</w:t>
      </w:r>
      <w:r w:rsidRPr="00144794">
        <w:rPr>
          <w:rFonts w:eastAsia="Times New Roman"/>
        </w:rPr>
        <w:t>(2), 247–256.</w:t>
      </w:r>
    </w:p>
    <w:p w:rsidR="00335EFE" w:rsidRPr="00144794" w:rsidRDefault="00335EFE" w:rsidP="00335EFE">
      <w:pPr>
        <w:spacing w:line="480" w:lineRule="auto"/>
        <w:ind w:left="480" w:hanging="480"/>
        <w:rPr>
          <w:rFonts w:eastAsia="Times New Roman"/>
        </w:rPr>
      </w:pPr>
      <w:r w:rsidRPr="00144794">
        <w:rPr>
          <w:rFonts w:eastAsia="Times New Roman"/>
        </w:rPr>
        <w:t xml:space="preserve">Towers, J., &amp; Proulx, J. (2013). An enactivist perspective on teaching mathematics: Reconceptualising and expanding teaching actions. </w:t>
      </w:r>
      <w:r w:rsidRPr="00144794">
        <w:rPr>
          <w:rFonts w:eastAsia="Times New Roman"/>
          <w:i/>
          <w:iCs/>
        </w:rPr>
        <w:t>Mathematics Teacher Education and Development</w:t>
      </w:r>
      <w:r w:rsidRPr="00144794">
        <w:rPr>
          <w:rFonts w:eastAsia="Times New Roman"/>
        </w:rPr>
        <w:t xml:space="preserve">, </w:t>
      </w:r>
      <w:r w:rsidRPr="00144794">
        <w:rPr>
          <w:rFonts w:eastAsia="Times New Roman"/>
          <w:i/>
          <w:iCs/>
        </w:rPr>
        <w:t>15</w:t>
      </w:r>
      <w:r w:rsidRPr="00144794">
        <w:rPr>
          <w:rFonts w:eastAsia="Times New Roman"/>
        </w:rPr>
        <w:t>(1), 5–28.</w:t>
      </w:r>
    </w:p>
    <w:p w:rsidR="00335EFE" w:rsidRPr="00144794" w:rsidRDefault="00335EFE" w:rsidP="00335EFE">
      <w:pPr>
        <w:spacing w:line="480" w:lineRule="auto"/>
        <w:ind w:left="480" w:hanging="480"/>
        <w:rPr>
          <w:rFonts w:eastAsia="Times New Roman"/>
        </w:rPr>
      </w:pPr>
      <w:r w:rsidRPr="00144794">
        <w:rPr>
          <w:rFonts w:eastAsia="Times New Roman"/>
        </w:rPr>
        <w:t xml:space="preserve">Wilson, F. (1998). </w:t>
      </w:r>
      <w:r w:rsidRPr="00144794">
        <w:rPr>
          <w:rFonts w:eastAsia="Times New Roman"/>
          <w:i/>
          <w:iCs/>
        </w:rPr>
        <w:t>The Hand</w:t>
      </w:r>
      <w:r w:rsidRPr="00144794">
        <w:rPr>
          <w:rFonts w:eastAsia="Times New Roman"/>
        </w:rPr>
        <w:t>. Vintage Books.</w:t>
      </w:r>
    </w:p>
    <w:p w:rsidR="00F100F4" w:rsidRDefault="00F100F4" w:rsidP="007D2926">
      <w:pPr>
        <w:spacing w:line="480" w:lineRule="auto"/>
      </w:pPr>
    </w:p>
    <w:sectPr w:rsidR="00F100F4" w:rsidSect="0013132D">
      <w:headerReference w:type="even" r:id="rId11"/>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7A18" w:rsidRDefault="00CA7A18" w:rsidP="003A0DC8">
      <w:r>
        <w:separator/>
      </w:r>
    </w:p>
  </w:endnote>
  <w:endnote w:type="continuationSeparator" w:id="0">
    <w:p w:rsidR="00CA7A18" w:rsidRDefault="00CA7A18" w:rsidP="003A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321248"/>
      <w:docPartObj>
        <w:docPartGallery w:val="Page Numbers (Bottom of Page)"/>
        <w:docPartUnique/>
      </w:docPartObj>
    </w:sdtPr>
    <w:sdtEndPr>
      <w:rPr>
        <w:noProof/>
      </w:rPr>
    </w:sdtEndPr>
    <w:sdtContent>
      <w:p w:rsidR="00E80B60" w:rsidRDefault="00027253">
        <w:pPr>
          <w:pStyle w:val="Footer"/>
          <w:jc w:val="right"/>
        </w:pPr>
        <w:r>
          <w:fldChar w:fldCharType="begin"/>
        </w:r>
        <w:r w:rsidR="00E80B60">
          <w:instrText xml:space="preserve"> PAGE   \* MERGEFORMAT </w:instrText>
        </w:r>
        <w:r>
          <w:fldChar w:fldCharType="separate"/>
        </w:r>
        <w:r w:rsidR="00E743FC">
          <w:rPr>
            <w:noProof/>
          </w:rPr>
          <w:t>1</w:t>
        </w:r>
        <w:r>
          <w:rPr>
            <w:noProof/>
          </w:rPr>
          <w:fldChar w:fldCharType="end"/>
        </w:r>
      </w:p>
    </w:sdtContent>
  </w:sdt>
  <w:p w:rsidR="00E80B60" w:rsidRDefault="00E8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7A18" w:rsidRDefault="00CA7A18" w:rsidP="003A0DC8">
      <w:r>
        <w:separator/>
      </w:r>
    </w:p>
  </w:footnote>
  <w:footnote w:type="continuationSeparator" w:id="0">
    <w:p w:rsidR="00CA7A18" w:rsidRDefault="00CA7A18" w:rsidP="003A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1236012"/>
      <w:docPartObj>
        <w:docPartGallery w:val="Page Numbers (Top of Page)"/>
        <w:docPartUnique/>
      </w:docPartObj>
    </w:sdtPr>
    <w:sdtContent>
      <w:p w:rsidR="00F100F4" w:rsidRDefault="00027253" w:rsidP="00361149">
        <w:pPr>
          <w:pStyle w:val="Header"/>
          <w:framePr w:wrap="none" w:vAnchor="text" w:hAnchor="margin" w:xAlign="right" w:y="1"/>
          <w:rPr>
            <w:rStyle w:val="PageNumber"/>
          </w:rPr>
        </w:pPr>
        <w:r>
          <w:rPr>
            <w:rStyle w:val="PageNumber"/>
          </w:rPr>
          <w:fldChar w:fldCharType="begin"/>
        </w:r>
        <w:r w:rsidR="00F100F4">
          <w:rPr>
            <w:rStyle w:val="PageNumber"/>
          </w:rPr>
          <w:instrText xml:space="preserve"> PAGE </w:instrText>
        </w:r>
        <w:r>
          <w:rPr>
            <w:rStyle w:val="PageNumber"/>
          </w:rPr>
          <w:fldChar w:fldCharType="end"/>
        </w:r>
      </w:p>
    </w:sdtContent>
  </w:sdt>
  <w:p w:rsidR="00F100F4" w:rsidRDefault="00F100F4" w:rsidP="00F100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00F4" w:rsidRDefault="00F100F4" w:rsidP="00361149">
    <w:pPr>
      <w:pStyle w:val="Header"/>
      <w:framePr w:wrap="none" w:vAnchor="text" w:hAnchor="margin" w:xAlign="right" w:y="1"/>
      <w:rPr>
        <w:rStyle w:val="PageNumber"/>
      </w:rPr>
    </w:pPr>
  </w:p>
  <w:p w:rsidR="00F100F4" w:rsidRDefault="00F100F4" w:rsidP="00E80B6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417"/>
    <w:rsid w:val="00000D46"/>
    <w:rsid w:val="00001151"/>
    <w:rsid w:val="000045A1"/>
    <w:rsid w:val="000256FE"/>
    <w:rsid w:val="00025EB6"/>
    <w:rsid w:val="00027253"/>
    <w:rsid w:val="00053135"/>
    <w:rsid w:val="00056098"/>
    <w:rsid w:val="000655EC"/>
    <w:rsid w:val="00074616"/>
    <w:rsid w:val="000750F3"/>
    <w:rsid w:val="00080015"/>
    <w:rsid w:val="000802B3"/>
    <w:rsid w:val="0008221C"/>
    <w:rsid w:val="00083286"/>
    <w:rsid w:val="000832E4"/>
    <w:rsid w:val="000852A3"/>
    <w:rsid w:val="00090FA3"/>
    <w:rsid w:val="000929A6"/>
    <w:rsid w:val="000968EF"/>
    <w:rsid w:val="000A2DEC"/>
    <w:rsid w:val="000A4205"/>
    <w:rsid w:val="000A44AE"/>
    <w:rsid w:val="000B61F3"/>
    <w:rsid w:val="000C2C1D"/>
    <w:rsid w:val="000C3652"/>
    <w:rsid w:val="000D1292"/>
    <w:rsid w:val="000D6FB5"/>
    <w:rsid w:val="000E4A36"/>
    <w:rsid w:val="000F215D"/>
    <w:rsid w:val="001030FD"/>
    <w:rsid w:val="00107D45"/>
    <w:rsid w:val="0012453B"/>
    <w:rsid w:val="0012733E"/>
    <w:rsid w:val="00127C05"/>
    <w:rsid w:val="00130B6A"/>
    <w:rsid w:val="0013132D"/>
    <w:rsid w:val="0013360F"/>
    <w:rsid w:val="00142629"/>
    <w:rsid w:val="00143219"/>
    <w:rsid w:val="00143C6E"/>
    <w:rsid w:val="00151D8F"/>
    <w:rsid w:val="00154081"/>
    <w:rsid w:val="00160D10"/>
    <w:rsid w:val="001622B2"/>
    <w:rsid w:val="001713DC"/>
    <w:rsid w:val="001750E2"/>
    <w:rsid w:val="0017626D"/>
    <w:rsid w:val="00176314"/>
    <w:rsid w:val="0017651C"/>
    <w:rsid w:val="00186ECB"/>
    <w:rsid w:val="0019400B"/>
    <w:rsid w:val="00197430"/>
    <w:rsid w:val="001A2C03"/>
    <w:rsid w:val="001C11DD"/>
    <w:rsid w:val="001D348E"/>
    <w:rsid w:val="001E068E"/>
    <w:rsid w:val="001E3C17"/>
    <w:rsid w:val="001E56C6"/>
    <w:rsid w:val="001E6137"/>
    <w:rsid w:val="001E6EEC"/>
    <w:rsid w:val="00204240"/>
    <w:rsid w:val="00210DE4"/>
    <w:rsid w:val="00211A52"/>
    <w:rsid w:val="002142A1"/>
    <w:rsid w:val="002156F2"/>
    <w:rsid w:val="00224E2B"/>
    <w:rsid w:val="00236EEE"/>
    <w:rsid w:val="00237238"/>
    <w:rsid w:val="0025334F"/>
    <w:rsid w:val="00253D1D"/>
    <w:rsid w:val="00253EF8"/>
    <w:rsid w:val="002653D2"/>
    <w:rsid w:val="002720C7"/>
    <w:rsid w:val="00280815"/>
    <w:rsid w:val="002828B6"/>
    <w:rsid w:val="00292EBF"/>
    <w:rsid w:val="002B2AE5"/>
    <w:rsid w:val="002B6BB7"/>
    <w:rsid w:val="002C7438"/>
    <w:rsid w:val="002D21DD"/>
    <w:rsid w:val="002D5A19"/>
    <w:rsid w:val="002E275E"/>
    <w:rsid w:val="002E5A1C"/>
    <w:rsid w:val="002F2760"/>
    <w:rsid w:val="00301018"/>
    <w:rsid w:val="003039D7"/>
    <w:rsid w:val="0030501B"/>
    <w:rsid w:val="00305718"/>
    <w:rsid w:val="00305730"/>
    <w:rsid w:val="00314B53"/>
    <w:rsid w:val="00321448"/>
    <w:rsid w:val="003232F3"/>
    <w:rsid w:val="00323F77"/>
    <w:rsid w:val="00332EB2"/>
    <w:rsid w:val="00335EFE"/>
    <w:rsid w:val="0034515F"/>
    <w:rsid w:val="00355CFD"/>
    <w:rsid w:val="00356DE3"/>
    <w:rsid w:val="0036041E"/>
    <w:rsid w:val="003741DF"/>
    <w:rsid w:val="00377B76"/>
    <w:rsid w:val="00377E65"/>
    <w:rsid w:val="003806F3"/>
    <w:rsid w:val="00387F48"/>
    <w:rsid w:val="003950AD"/>
    <w:rsid w:val="003A0DC8"/>
    <w:rsid w:val="003A112C"/>
    <w:rsid w:val="003A533F"/>
    <w:rsid w:val="003A5347"/>
    <w:rsid w:val="003B026F"/>
    <w:rsid w:val="003C5D3C"/>
    <w:rsid w:val="003C60DC"/>
    <w:rsid w:val="003D1A57"/>
    <w:rsid w:val="003D53B7"/>
    <w:rsid w:val="003D77C4"/>
    <w:rsid w:val="003F0518"/>
    <w:rsid w:val="003F600D"/>
    <w:rsid w:val="0041463B"/>
    <w:rsid w:val="0042472F"/>
    <w:rsid w:val="00436D87"/>
    <w:rsid w:val="00441223"/>
    <w:rsid w:val="00444847"/>
    <w:rsid w:val="004524BD"/>
    <w:rsid w:val="004602DB"/>
    <w:rsid w:val="00462063"/>
    <w:rsid w:val="004671A6"/>
    <w:rsid w:val="00477BC8"/>
    <w:rsid w:val="004902AC"/>
    <w:rsid w:val="004A32D2"/>
    <w:rsid w:val="004A5367"/>
    <w:rsid w:val="004A79B4"/>
    <w:rsid w:val="004C3032"/>
    <w:rsid w:val="004C3DD2"/>
    <w:rsid w:val="004C4499"/>
    <w:rsid w:val="004C58F6"/>
    <w:rsid w:val="004D13B4"/>
    <w:rsid w:val="004E0580"/>
    <w:rsid w:val="004E293B"/>
    <w:rsid w:val="004E3D53"/>
    <w:rsid w:val="004E6ED3"/>
    <w:rsid w:val="004E7BCB"/>
    <w:rsid w:val="004F111B"/>
    <w:rsid w:val="004F305E"/>
    <w:rsid w:val="004F4B56"/>
    <w:rsid w:val="004F6AC0"/>
    <w:rsid w:val="00500CD0"/>
    <w:rsid w:val="00503EC2"/>
    <w:rsid w:val="00513749"/>
    <w:rsid w:val="005226A2"/>
    <w:rsid w:val="005235DC"/>
    <w:rsid w:val="00530671"/>
    <w:rsid w:val="00537125"/>
    <w:rsid w:val="00537633"/>
    <w:rsid w:val="005423B3"/>
    <w:rsid w:val="00542411"/>
    <w:rsid w:val="00550ED6"/>
    <w:rsid w:val="00551FC1"/>
    <w:rsid w:val="0055627C"/>
    <w:rsid w:val="00562B0C"/>
    <w:rsid w:val="005902EA"/>
    <w:rsid w:val="00594E11"/>
    <w:rsid w:val="005A2D93"/>
    <w:rsid w:val="005B3EB8"/>
    <w:rsid w:val="005E1245"/>
    <w:rsid w:val="005E1867"/>
    <w:rsid w:val="005E590E"/>
    <w:rsid w:val="006055A6"/>
    <w:rsid w:val="00620A86"/>
    <w:rsid w:val="00626C54"/>
    <w:rsid w:val="00630173"/>
    <w:rsid w:val="006475A5"/>
    <w:rsid w:val="00650E3D"/>
    <w:rsid w:val="00656710"/>
    <w:rsid w:val="006577ED"/>
    <w:rsid w:val="00664391"/>
    <w:rsid w:val="00681EAD"/>
    <w:rsid w:val="00687D00"/>
    <w:rsid w:val="00693BC1"/>
    <w:rsid w:val="006A6455"/>
    <w:rsid w:val="006A6E6F"/>
    <w:rsid w:val="006B5603"/>
    <w:rsid w:val="006B6D5B"/>
    <w:rsid w:val="006D0640"/>
    <w:rsid w:val="006D3E34"/>
    <w:rsid w:val="006F3E81"/>
    <w:rsid w:val="006F4612"/>
    <w:rsid w:val="00704639"/>
    <w:rsid w:val="00705C80"/>
    <w:rsid w:val="00717E9A"/>
    <w:rsid w:val="007208BB"/>
    <w:rsid w:val="00721397"/>
    <w:rsid w:val="00722F9B"/>
    <w:rsid w:val="0072468D"/>
    <w:rsid w:val="00726F76"/>
    <w:rsid w:val="00732CBD"/>
    <w:rsid w:val="007446F9"/>
    <w:rsid w:val="0074484B"/>
    <w:rsid w:val="00746437"/>
    <w:rsid w:val="00750BB4"/>
    <w:rsid w:val="007615B0"/>
    <w:rsid w:val="00762F8A"/>
    <w:rsid w:val="00771287"/>
    <w:rsid w:val="00781972"/>
    <w:rsid w:val="00782515"/>
    <w:rsid w:val="00784275"/>
    <w:rsid w:val="00792ED5"/>
    <w:rsid w:val="007A75AF"/>
    <w:rsid w:val="007B3A50"/>
    <w:rsid w:val="007B4C23"/>
    <w:rsid w:val="007B6374"/>
    <w:rsid w:val="007B683B"/>
    <w:rsid w:val="007C222E"/>
    <w:rsid w:val="007C5D77"/>
    <w:rsid w:val="007D2926"/>
    <w:rsid w:val="007D3A4C"/>
    <w:rsid w:val="007D595B"/>
    <w:rsid w:val="007E01A7"/>
    <w:rsid w:val="007E220B"/>
    <w:rsid w:val="007E3E36"/>
    <w:rsid w:val="007E53C2"/>
    <w:rsid w:val="007F3211"/>
    <w:rsid w:val="007F3866"/>
    <w:rsid w:val="00804313"/>
    <w:rsid w:val="00816F82"/>
    <w:rsid w:val="00817A52"/>
    <w:rsid w:val="00822324"/>
    <w:rsid w:val="0083047A"/>
    <w:rsid w:val="008331E0"/>
    <w:rsid w:val="00844A94"/>
    <w:rsid w:val="008454EC"/>
    <w:rsid w:val="00855B40"/>
    <w:rsid w:val="00861018"/>
    <w:rsid w:val="00862905"/>
    <w:rsid w:val="00873756"/>
    <w:rsid w:val="008770CE"/>
    <w:rsid w:val="008774B5"/>
    <w:rsid w:val="00886DC8"/>
    <w:rsid w:val="008A1E03"/>
    <w:rsid w:val="008A4D0B"/>
    <w:rsid w:val="008B7A00"/>
    <w:rsid w:val="008C2304"/>
    <w:rsid w:val="008C3467"/>
    <w:rsid w:val="008D68E6"/>
    <w:rsid w:val="008E1B2D"/>
    <w:rsid w:val="008F77B2"/>
    <w:rsid w:val="0090136F"/>
    <w:rsid w:val="00904C9D"/>
    <w:rsid w:val="00906F98"/>
    <w:rsid w:val="00911CAF"/>
    <w:rsid w:val="00911D3D"/>
    <w:rsid w:val="00925F33"/>
    <w:rsid w:val="0092745B"/>
    <w:rsid w:val="00946163"/>
    <w:rsid w:val="009500AC"/>
    <w:rsid w:val="00961A6A"/>
    <w:rsid w:val="00966BA5"/>
    <w:rsid w:val="00972299"/>
    <w:rsid w:val="00972554"/>
    <w:rsid w:val="00974D70"/>
    <w:rsid w:val="009759A2"/>
    <w:rsid w:val="00975DA4"/>
    <w:rsid w:val="009830F9"/>
    <w:rsid w:val="0098410B"/>
    <w:rsid w:val="00986AEB"/>
    <w:rsid w:val="009A2DC9"/>
    <w:rsid w:val="009A571D"/>
    <w:rsid w:val="009B0741"/>
    <w:rsid w:val="009B2FAE"/>
    <w:rsid w:val="009B4B13"/>
    <w:rsid w:val="009C10D9"/>
    <w:rsid w:val="009D4E18"/>
    <w:rsid w:val="009E2DEE"/>
    <w:rsid w:val="009E79DB"/>
    <w:rsid w:val="009F3359"/>
    <w:rsid w:val="009F552E"/>
    <w:rsid w:val="009F64C4"/>
    <w:rsid w:val="009F77F1"/>
    <w:rsid w:val="00A023EC"/>
    <w:rsid w:val="00A02F43"/>
    <w:rsid w:val="00A05F82"/>
    <w:rsid w:val="00A129C7"/>
    <w:rsid w:val="00A21718"/>
    <w:rsid w:val="00A26AEF"/>
    <w:rsid w:val="00A436EB"/>
    <w:rsid w:val="00A4788A"/>
    <w:rsid w:val="00A575AD"/>
    <w:rsid w:val="00A73955"/>
    <w:rsid w:val="00A746A5"/>
    <w:rsid w:val="00A747BF"/>
    <w:rsid w:val="00A837F1"/>
    <w:rsid w:val="00A85D51"/>
    <w:rsid w:val="00A91AA2"/>
    <w:rsid w:val="00A93659"/>
    <w:rsid w:val="00AB29C2"/>
    <w:rsid w:val="00AB4910"/>
    <w:rsid w:val="00AB6FC1"/>
    <w:rsid w:val="00AC6832"/>
    <w:rsid w:val="00AD1847"/>
    <w:rsid w:val="00AD42B6"/>
    <w:rsid w:val="00AD4678"/>
    <w:rsid w:val="00AD5664"/>
    <w:rsid w:val="00AD5A09"/>
    <w:rsid w:val="00AE209E"/>
    <w:rsid w:val="00AE397D"/>
    <w:rsid w:val="00AE4241"/>
    <w:rsid w:val="00B05F43"/>
    <w:rsid w:val="00B07C33"/>
    <w:rsid w:val="00B112F6"/>
    <w:rsid w:val="00B1298A"/>
    <w:rsid w:val="00B154FB"/>
    <w:rsid w:val="00B1611C"/>
    <w:rsid w:val="00B17531"/>
    <w:rsid w:val="00B20200"/>
    <w:rsid w:val="00B21EB3"/>
    <w:rsid w:val="00B23F67"/>
    <w:rsid w:val="00B2405D"/>
    <w:rsid w:val="00B2769F"/>
    <w:rsid w:val="00B32841"/>
    <w:rsid w:val="00B47E2E"/>
    <w:rsid w:val="00B667C2"/>
    <w:rsid w:val="00B701EB"/>
    <w:rsid w:val="00B70CD9"/>
    <w:rsid w:val="00B735F1"/>
    <w:rsid w:val="00B757DF"/>
    <w:rsid w:val="00B81A1B"/>
    <w:rsid w:val="00B91610"/>
    <w:rsid w:val="00BA69E3"/>
    <w:rsid w:val="00BB0BE3"/>
    <w:rsid w:val="00BB29A9"/>
    <w:rsid w:val="00BB597F"/>
    <w:rsid w:val="00BC42C3"/>
    <w:rsid w:val="00BD04CE"/>
    <w:rsid w:val="00BD62D1"/>
    <w:rsid w:val="00BE507E"/>
    <w:rsid w:val="00BE51FD"/>
    <w:rsid w:val="00C05501"/>
    <w:rsid w:val="00C06676"/>
    <w:rsid w:val="00C2007C"/>
    <w:rsid w:val="00C37AB9"/>
    <w:rsid w:val="00C53CA7"/>
    <w:rsid w:val="00C56363"/>
    <w:rsid w:val="00C6022C"/>
    <w:rsid w:val="00C65F0E"/>
    <w:rsid w:val="00C66E33"/>
    <w:rsid w:val="00C8261F"/>
    <w:rsid w:val="00C90291"/>
    <w:rsid w:val="00C946B5"/>
    <w:rsid w:val="00CA056A"/>
    <w:rsid w:val="00CA08EE"/>
    <w:rsid w:val="00CA5417"/>
    <w:rsid w:val="00CA5B11"/>
    <w:rsid w:val="00CA7A18"/>
    <w:rsid w:val="00CB0C6E"/>
    <w:rsid w:val="00CB1B0F"/>
    <w:rsid w:val="00CC1BD7"/>
    <w:rsid w:val="00CC37CD"/>
    <w:rsid w:val="00CD4BD4"/>
    <w:rsid w:val="00CF7DFB"/>
    <w:rsid w:val="00D01272"/>
    <w:rsid w:val="00D23D71"/>
    <w:rsid w:val="00D24014"/>
    <w:rsid w:val="00D24CC1"/>
    <w:rsid w:val="00D373BF"/>
    <w:rsid w:val="00D5585B"/>
    <w:rsid w:val="00D63AC2"/>
    <w:rsid w:val="00D64663"/>
    <w:rsid w:val="00D7046B"/>
    <w:rsid w:val="00D774F7"/>
    <w:rsid w:val="00D82460"/>
    <w:rsid w:val="00D912AB"/>
    <w:rsid w:val="00DA4C0D"/>
    <w:rsid w:val="00DA5DAD"/>
    <w:rsid w:val="00DA7DB7"/>
    <w:rsid w:val="00DB035F"/>
    <w:rsid w:val="00DB33E9"/>
    <w:rsid w:val="00DB3747"/>
    <w:rsid w:val="00DC3BF8"/>
    <w:rsid w:val="00DC4978"/>
    <w:rsid w:val="00DD776E"/>
    <w:rsid w:val="00DE36B2"/>
    <w:rsid w:val="00DF5CEA"/>
    <w:rsid w:val="00E13EF2"/>
    <w:rsid w:val="00E172E0"/>
    <w:rsid w:val="00E22280"/>
    <w:rsid w:val="00E26236"/>
    <w:rsid w:val="00E304A0"/>
    <w:rsid w:val="00E34E34"/>
    <w:rsid w:val="00E47819"/>
    <w:rsid w:val="00E479D6"/>
    <w:rsid w:val="00E609DD"/>
    <w:rsid w:val="00E639C7"/>
    <w:rsid w:val="00E743FC"/>
    <w:rsid w:val="00E80B60"/>
    <w:rsid w:val="00E815DD"/>
    <w:rsid w:val="00E83F7B"/>
    <w:rsid w:val="00E85187"/>
    <w:rsid w:val="00E869D6"/>
    <w:rsid w:val="00E87E1B"/>
    <w:rsid w:val="00EA01EA"/>
    <w:rsid w:val="00EA2DC4"/>
    <w:rsid w:val="00EA3CA0"/>
    <w:rsid w:val="00EA49BD"/>
    <w:rsid w:val="00ED6493"/>
    <w:rsid w:val="00ED75C7"/>
    <w:rsid w:val="00EF21D2"/>
    <w:rsid w:val="00F019A2"/>
    <w:rsid w:val="00F02F1F"/>
    <w:rsid w:val="00F072F8"/>
    <w:rsid w:val="00F07CEB"/>
    <w:rsid w:val="00F07DCB"/>
    <w:rsid w:val="00F100F4"/>
    <w:rsid w:val="00F16CE8"/>
    <w:rsid w:val="00F23D87"/>
    <w:rsid w:val="00F25F6C"/>
    <w:rsid w:val="00F26AD3"/>
    <w:rsid w:val="00F27681"/>
    <w:rsid w:val="00F37A70"/>
    <w:rsid w:val="00F43021"/>
    <w:rsid w:val="00F445DE"/>
    <w:rsid w:val="00F47B23"/>
    <w:rsid w:val="00F54055"/>
    <w:rsid w:val="00F60F8F"/>
    <w:rsid w:val="00F63AAC"/>
    <w:rsid w:val="00F66C8D"/>
    <w:rsid w:val="00F71FE1"/>
    <w:rsid w:val="00F735D9"/>
    <w:rsid w:val="00F74A39"/>
    <w:rsid w:val="00F86D5B"/>
    <w:rsid w:val="00F908D6"/>
    <w:rsid w:val="00F94A6C"/>
    <w:rsid w:val="00FA0724"/>
    <w:rsid w:val="00FA53DA"/>
    <w:rsid w:val="00FB4312"/>
    <w:rsid w:val="00FB580E"/>
    <w:rsid w:val="00FB58E7"/>
    <w:rsid w:val="00FB62A4"/>
    <w:rsid w:val="00FC1DD2"/>
    <w:rsid w:val="00FD4EFF"/>
    <w:rsid w:val="00FF36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0DC8"/>
    <w:rPr>
      <w:sz w:val="20"/>
      <w:szCs w:val="20"/>
    </w:rPr>
  </w:style>
  <w:style w:type="character" w:customStyle="1" w:styleId="FootnoteTextChar">
    <w:name w:val="Footnote Text Char"/>
    <w:basedOn w:val="DefaultParagraphFont"/>
    <w:link w:val="FootnoteText"/>
    <w:uiPriority w:val="99"/>
    <w:semiHidden/>
    <w:rsid w:val="003A0DC8"/>
    <w:rPr>
      <w:sz w:val="20"/>
      <w:szCs w:val="20"/>
    </w:rPr>
  </w:style>
  <w:style w:type="character" w:styleId="FootnoteReference">
    <w:name w:val="footnote reference"/>
    <w:basedOn w:val="DefaultParagraphFont"/>
    <w:uiPriority w:val="99"/>
    <w:semiHidden/>
    <w:unhideWhenUsed/>
    <w:rsid w:val="003A0DC8"/>
    <w:rPr>
      <w:vertAlign w:val="superscript"/>
    </w:rPr>
  </w:style>
  <w:style w:type="paragraph" w:styleId="Header">
    <w:name w:val="header"/>
    <w:basedOn w:val="Normal"/>
    <w:link w:val="HeaderChar"/>
    <w:uiPriority w:val="99"/>
    <w:unhideWhenUsed/>
    <w:rsid w:val="00F100F4"/>
    <w:pPr>
      <w:tabs>
        <w:tab w:val="center" w:pos="4680"/>
        <w:tab w:val="right" w:pos="9360"/>
      </w:tabs>
    </w:pPr>
  </w:style>
  <w:style w:type="character" w:customStyle="1" w:styleId="HeaderChar">
    <w:name w:val="Header Char"/>
    <w:basedOn w:val="DefaultParagraphFont"/>
    <w:link w:val="Header"/>
    <w:uiPriority w:val="99"/>
    <w:rsid w:val="00F100F4"/>
  </w:style>
  <w:style w:type="paragraph" w:styleId="Footer">
    <w:name w:val="footer"/>
    <w:basedOn w:val="Normal"/>
    <w:link w:val="FooterChar"/>
    <w:uiPriority w:val="99"/>
    <w:unhideWhenUsed/>
    <w:rsid w:val="00F100F4"/>
    <w:pPr>
      <w:tabs>
        <w:tab w:val="center" w:pos="4680"/>
        <w:tab w:val="right" w:pos="9360"/>
      </w:tabs>
    </w:pPr>
  </w:style>
  <w:style w:type="character" w:customStyle="1" w:styleId="FooterChar">
    <w:name w:val="Footer Char"/>
    <w:basedOn w:val="DefaultParagraphFont"/>
    <w:link w:val="Footer"/>
    <w:uiPriority w:val="99"/>
    <w:rsid w:val="00F100F4"/>
  </w:style>
  <w:style w:type="character" w:styleId="PageNumber">
    <w:name w:val="page number"/>
    <w:basedOn w:val="DefaultParagraphFont"/>
    <w:uiPriority w:val="99"/>
    <w:semiHidden/>
    <w:unhideWhenUsed/>
    <w:rsid w:val="00F1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06039">
      <w:bodyDiv w:val="1"/>
      <w:marLeft w:val="0"/>
      <w:marRight w:val="0"/>
      <w:marTop w:val="0"/>
      <w:marBottom w:val="0"/>
      <w:divBdr>
        <w:top w:val="none" w:sz="0" w:space="0" w:color="auto"/>
        <w:left w:val="none" w:sz="0" w:space="0" w:color="auto"/>
        <w:bottom w:val="none" w:sz="0" w:space="0" w:color="auto"/>
        <w:right w:val="none" w:sz="0" w:space="0" w:color="auto"/>
      </w:divBdr>
      <w:divsChild>
        <w:div w:id="2138639916">
          <w:marLeft w:val="480"/>
          <w:marRight w:val="0"/>
          <w:marTop w:val="0"/>
          <w:marBottom w:val="0"/>
          <w:divBdr>
            <w:top w:val="none" w:sz="0" w:space="0" w:color="auto"/>
            <w:left w:val="none" w:sz="0" w:space="0" w:color="auto"/>
            <w:bottom w:val="none" w:sz="0" w:space="0" w:color="auto"/>
            <w:right w:val="none" w:sz="0" w:space="0" w:color="auto"/>
          </w:divBdr>
          <w:divsChild>
            <w:div w:id="45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utenberg.org/files/45605/45605-h/45605-h.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C614-871D-E343-8EE9-D1B6C493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2022-06-02T09:14:00Z</dcterms:created>
  <dcterms:modified xsi:type="dcterms:W3CDTF">2024-12-14T18:28:00Z</dcterms:modified>
</cp:coreProperties>
</file>