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E41DCB" w14:textId="45ECE7EE" w:rsidR="00A52016" w:rsidRPr="00485D46" w:rsidRDefault="009A37D4" w:rsidP="00A52016">
      <w:pPr>
        <w:pStyle w:val="NoSpacing"/>
        <w:rPr>
          <w:rFonts w:ascii="Times New Roman" w:hAnsi="Times New Roman" w:cs="Times New Roman"/>
          <w:b/>
          <w:color w:val="000000" w:themeColor="text1"/>
          <w:sz w:val="24"/>
          <w:szCs w:val="24"/>
        </w:rPr>
      </w:pPr>
      <w:r w:rsidRPr="00485D46">
        <w:rPr>
          <w:rFonts w:ascii="Times New Roman" w:hAnsi="Times New Roman" w:cs="Times New Roman"/>
          <w:b/>
          <w:color w:val="000000" w:themeColor="text1"/>
          <w:sz w:val="24"/>
          <w:szCs w:val="24"/>
          <w:highlight w:val="lightGray"/>
        </w:rPr>
        <w:t>Version</w:t>
      </w:r>
      <w:r w:rsidR="00FB595A" w:rsidRPr="00485D46">
        <w:rPr>
          <w:rFonts w:ascii="Times New Roman" w:hAnsi="Times New Roman" w:cs="Times New Roman"/>
          <w:b/>
          <w:color w:val="000000" w:themeColor="text1"/>
          <w:sz w:val="24"/>
          <w:szCs w:val="24"/>
          <w:highlight w:val="lightGray"/>
        </w:rPr>
        <w:t>2</w:t>
      </w:r>
      <w:r w:rsidR="00817740" w:rsidRPr="00485D46">
        <w:rPr>
          <w:rFonts w:ascii="Times New Roman" w:hAnsi="Times New Roman" w:cs="Times New Roman"/>
          <w:b/>
          <w:color w:val="000000" w:themeColor="text1"/>
          <w:sz w:val="24"/>
          <w:szCs w:val="24"/>
          <w:highlight w:val="lightGray"/>
        </w:rPr>
        <w:t xml:space="preserve"> </w:t>
      </w:r>
    </w:p>
    <w:p w14:paraId="05F2B053" w14:textId="77777777" w:rsidR="00A52016" w:rsidRPr="00485D46" w:rsidRDefault="00A52016" w:rsidP="005D0E2E">
      <w:pPr>
        <w:pStyle w:val="NoSpacing"/>
        <w:jc w:val="center"/>
        <w:rPr>
          <w:rFonts w:ascii="Times New Roman" w:hAnsi="Times New Roman" w:cs="Times New Roman"/>
          <w:b/>
          <w:color w:val="000000" w:themeColor="text1"/>
          <w:sz w:val="24"/>
          <w:szCs w:val="24"/>
        </w:rPr>
      </w:pPr>
      <w:bookmarkStart w:id="0" w:name="_GoBack"/>
      <w:bookmarkEnd w:id="0"/>
    </w:p>
    <w:p w14:paraId="6796377A" w14:textId="7BC34255" w:rsidR="00573F56" w:rsidRPr="00485D46" w:rsidRDefault="00932009" w:rsidP="005D0E2E">
      <w:pPr>
        <w:pStyle w:val="No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Kinetic measurement systems</w:t>
      </w:r>
      <w:r w:rsidR="007936EA" w:rsidRPr="00485D46">
        <w:rPr>
          <w:rFonts w:ascii="Times New Roman" w:hAnsi="Times New Roman" w:cs="Times New Roman"/>
          <w:b/>
          <w:color w:val="000000" w:themeColor="text1"/>
          <w:sz w:val="24"/>
          <w:szCs w:val="24"/>
        </w:rPr>
        <w:t xml:space="preserve"> in Individuals Following Anterior Cruciate Ligaments</w:t>
      </w:r>
      <w:r w:rsidR="00C27FF2" w:rsidRPr="00485D46">
        <w:rPr>
          <w:rFonts w:ascii="Times New Roman" w:hAnsi="Times New Roman" w:cs="Times New Roman"/>
          <w:b/>
          <w:color w:val="000000" w:themeColor="text1"/>
          <w:sz w:val="24"/>
          <w:szCs w:val="24"/>
        </w:rPr>
        <w:t xml:space="preserve"> Reconstruction</w:t>
      </w:r>
      <w:r w:rsidR="007936EA" w:rsidRPr="00485D46">
        <w:rPr>
          <w:rFonts w:ascii="Times New Roman" w:hAnsi="Times New Roman" w:cs="Times New Roman"/>
          <w:b/>
          <w:color w:val="000000" w:themeColor="text1"/>
          <w:sz w:val="24"/>
          <w:szCs w:val="24"/>
        </w:rPr>
        <w:t>:</w:t>
      </w:r>
      <w:r w:rsidR="00573F56" w:rsidRPr="00485D46">
        <w:rPr>
          <w:rFonts w:ascii="Times New Roman" w:hAnsi="Times New Roman" w:cs="Times New Roman"/>
          <w:b/>
          <w:color w:val="000000" w:themeColor="text1"/>
          <w:sz w:val="24"/>
          <w:szCs w:val="24"/>
        </w:rPr>
        <w:t xml:space="preserve"> A Scoping Review</w:t>
      </w:r>
      <w:r w:rsidR="005A3833" w:rsidRPr="00485D46">
        <w:rPr>
          <w:rFonts w:ascii="Times New Roman" w:hAnsi="Times New Roman" w:cs="Times New Roman"/>
          <w:b/>
          <w:color w:val="000000" w:themeColor="text1"/>
          <w:sz w:val="24"/>
          <w:szCs w:val="24"/>
        </w:rPr>
        <w:t xml:space="preserve"> Protocol</w:t>
      </w:r>
    </w:p>
    <w:p w14:paraId="04CE2EF4" w14:textId="77777777" w:rsidR="005D0E2E" w:rsidRPr="00485D46" w:rsidRDefault="005D0E2E" w:rsidP="005D0E2E">
      <w:pPr>
        <w:pStyle w:val="NoSpacing"/>
        <w:jc w:val="center"/>
        <w:rPr>
          <w:rFonts w:ascii="Times New Roman" w:hAnsi="Times New Roman" w:cs="Times New Roman"/>
          <w:b/>
          <w:color w:val="000000" w:themeColor="text1"/>
          <w:sz w:val="24"/>
          <w:szCs w:val="24"/>
        </w:rPr>
      </w:pPr>
    </w:p>
    <w:p w14:paraId="08DB3511" w14:textId="0A5DBEC3" w:rsidR="00573F56" w:rsidRPr="00485D46" w:rsidRDefault="008D1386" w:rsidP="005D0E2E">
      <w:pPr>
        <w:pStyle w:val="NoSpacing"/>
        <w:jc w:val="both"/>
        <w:rPr>
          <w:rFonts w:ascii="Times New Roman" w:hAnsi="Times New Roman" w:cs="Times New Roman"/>
          <w:b/>
          <w:color w:val="000000" w:themeColor="text1"/>
          <w:sz w:val="24"/>
          <w:szCs w:val="24"/>
        </w:rPr>
      </w:pPr>
      <w:r w:rsidRPr="00485D46">
        <w:rPr>
          <w:rFonts w:ascii="Times New Roman" w:hAnsi="Times New Roman" w:cs="Times New Roman"/>
          <w:b/>
          <w:color w:val="000000" w:themeColor="text1"/>
          <w:sz w:val="24"/>
          <w:szCs w:val="24"/>
        </w:rPr>
        <w:t xml:space="preserve">AUTHORS: </w:t>
      </w:r>
    </w:p>
    <w:p w14:paraId="496BE8F3" w14:textId="6DA24EAB" w:rsidR="00720EF5" w:rsidRPr="00485D46" w:rsidRDefault="00720EF5" w:rsidP="005D0E2E">
      <w:pPr>
        <w:pStyle w:val="NoSpacing"/>
        <w:jc w:val="both"/>
        <w:rPr>
          <w:rFonts w:ascii="Times New Roman" w:hAnsi="Times New Roman" w:cs="Times New Roman"/>
          <w:bCs/>
          <w:color w:val="000000" w:themeColor="text1"/>
          <w:sz w:val="24"/>
          <w:szCs w:val="24"/>
          <w:vertAlign w:val="superscript"/>
        </w:rPr>
      </w:pPr>
      <w:r w:rsidRPr="00485D46">
        <w:rPr>
          <w:rFonts w:ascii="Times New Roman" w:hAnsi="Times New Roman" w:cs="Times New Roman"/>
          <w:bCs/>
          <w:color w:val="000000" w:themeColor="text1"/>
          <w:sz w:val="24"/>
          <w:szCs w:val="24"/>
        </w:rPr>
        <w:t>Wasim Labban</w:t>
      </w:r>
      <w:r w:rsidR="0092303D" w:rsidRPr="00485D46">
        <w:rPr>
          <w:rFonts w:ascii="Times New Roman" w:hAnsi="Times New Roman" w:cs="Times New Roman"/>
          <w:bCs/>
          <w:color w:val="000000" w:themeColor="text1"/>
          <w:sz w:val="24"/>
          <w:szCs w:val="24"/>
          <w:vertAlign w:val="superscript"/>
        </w:rPr>
        <w:t>1</w:t>
      </w:r>
      <w:r w:rsidR="00817740" w:rsidRPr="00485D46">
        <w:rPr>
          <w:rFonts w:ascii="Times New Roman" w:hAnsi="Times New Roman" w:cs="Times New Roman"/>
          <w:bCs/>
          <w:color w:val="000000" w:themeColor="text1"/>
          <w:sz w:val="24"/>
          <w:szCs w:val="24"/>
          <w:vertAlign w:val="superscript"/>
        </w:rPr>
        <w:t>.2</w:t>
      </w:r>
    </w:p>
    <w:p w14:paraId="7B9CC24A" w14:textId="4E9E979F" w:rsidR="00C0680A" w:rsidRPr="00485D46" w:rsidRDefault="00F6763F" w:rsidP="005D0E2E">
      <w:pPr>
        <w:pStyle w:val="NoSpacing"/>
        <w:jc w:val="both"/>
        <w:rPr>
          <w:rFonts w:ascii="Times New Roman" w:hAnsi="Times New Roman" w:cs="Times New Roman"/>
          <w:bCs/>
          <w:color w:val="000000" w:themeColor="text1"/>
          <w:sz w:val="24"/>
          <w:szCs w:val="24"/>
        </w:rPr>
      </w:pPr>
      <w:r w:rsidRPr="00485D46">
        <w:rPr>
          <w:rFonts w:ascii="Times New Roman" w:hAnsi="Times New Roman" w:cs="Times New Roman"/>
          <w:bCs/>
          <w:color w:val="000000" w:themeColor="text1"/>
          <w:sz w:val="24"/>
          <w:szCs w:val="24"/>
        </w:rPr>
        <w:t>Meredith Stadnyk</w:t>
      </w:r>
      <w:r w:rsidR="00817740" w:rsidRPr="00485D46">
        <w:rPr>
          <w:rFonts w:ascii="Times New Roman" w:hAnsi="Times New Roman" w:cs="Times New Roman"/>
          <w:bCs/>
          <w:color w:val="000000" w:themeColor="text1"/>
          <w:sz w:val="24"/>
          <w:szCs w:val="24"/>
          <w:vertAlign w:val="superscript"/>
        </w:rPr>
        <w:t>3</w:t>
      </w:r>
    </w:p>
    <w:p w14:paraId="726AAA46" w14:textId="63D65A16" w:rsidR="0092303D" w:rsidRPr="00485D46" w:rsidRDefault="0092303D" w:rsidP="005D0E2E">
      <w:pPr>
        <w:pStyle w:val="NoSpacing"/>
        <w:jc w:val="both"/>
        <w:rPr>
          <w:rFonts w:ascii="Times New Roman" w:hAnsi="Times New Roman" w:cs="Times New Roman"/>
          <w:bCs/>
          <w:color w:val="000000" w:themeColor="text1"/>
          <w:sz w:val="24"/>
          <w:szCs w:val="24"/>
          <w:vertAlign w:val="superscript"/>
        </w:rPr>
      </w:pPr>
      <w:r w:rsidRPr="00485D46">
        <w:rPr>
          <w:rFonts w:ascii="Times New Roman" w:hAnsi="Times New Roman" w:cs="Times New Roman"/>
          <w:bCs/>
          <w:color w:val="000000" w:themeColor="text1"/>
          <w:sz w:val="24"/>
          <w:szCs w:val="24"/>
        </w:rPr>
        <w:t>Mark Sommerfeldt</w:t>
      </w:r>
      <w:r w:rsidR="00817740" w:rsidRPr="00485D46">
        <w:rPr>
          <w:rFonts w:ascii="Times New Roman" w:hAnsi="Times New Roman" w:cs="Times New Roman"/>
          <w:bCs/>
          <w:color w:val="000000" w:themeColor="text1"/>
          <w:sz w:val="24"/>
          <w:szCs w:val="24"/>
          <w:vertAlign w:val="superscript"/>
        </w:rPr>
        <w:t>4</w:t>
      </w:r>
      <w:proofErr w:type="gramStart"/>
      <w:r w:rsidR="00817740" w:rsidRPr="00485D46">
        <w:rPr>
          <w:rFonts w:ascii="Times New Roman" w:hAnsi="Times New Roman" w:cs="Times New Roman"/>
          <w:bCs/>
          <w:color w:val="000000" w:themeColor="text1"/>
          <w:sz w:val="24"/>
          <w:szCs w:val="24"/>
          <w:vertAlign w:val="superscript"/>
        </w:rPr>
        <w:t>,5</w:t>
      </w:r>
      <w:proofErr w:type="gramEnd"/>
    </w:p>
    <w:p w14:paraId="009AE17B" w14:textId="23B0853A" w:rsidR="0092303D" w:rsidRPr="00485D46" w:rsidRDefault="0092303D" w:rsidP="005D0E2E">
      <w:pPr>
        <w:pStyle w:val="NoSpacing"/>
        <w:jc w:val="both"/>
        <w:rPr>
          <w:rFonts w:ascii="Times New Roman" w:hAnsi="Times New Roman" w:cs="Times New Roman"/>
          <w:bCs/>
          <w:color w:val="000000" w:themeColor="text1"/>
          <w:sz w:val="24"/>
          <w:szCs w:val="24"/>
          <w:vertAlign w:val="superscript"/>
        </w:rPr>
      </w:pPr>
      <w:r w:rsidRPr="00485D46">
        <w:rPr>
          <w:rFonts w:ascii="Times New Roman" w:hAnsi="Times New Roman" w:cs="Times New Roman"/>
          <w:bCs/>
          <w:color w:val="000000" w:themeColor="text1"/>
          <w:sz w:val="24"/>
          <w:szCs w:val="24"/>
        </w:rPr>
        <w:t>Stephanie Nathanail</w:t>
      </w:r>
      <w:r w:rsidR="00817740" w:rsidRPr="00485D46">
        <w:rPr>
          <w:rFonts w:ascii="Times New Roman" w:hAnsi="Times New Roman" w:cs="Times New Roman"/>
          <w:bCs/>
          <w:color w:val="000000" w:themeColor="text1"/>
          <w:sz w:val="24"/>
          <w:szCs w:val="24"/>
          <w:vertAlign w:val="superscript"/>
        </w:rPr>
        <w:t>6</w:t>
      </w:r>
    </w:p>
    <w:p w14:paraId="3664A635" w14:textId="35F7FA73" w:rsidR="0092303D" w:rsidRPr="00485D46" w:rsidRDefault="0092303D" w:rsidP="0092303D">
      <w:pPr>
        <w:pStyle w:val="NoSpacing"/>
        <w:jc w:val="both"/>
        <w:rPr>
          <w:rFonts w:ascii="Times New Roman" w:hAnsi="Times New Roman" w:cs="Times New Roman"/>
          <w:bCs/>
          <w:color w:val="000000" w:themeColor="text1"/>
          <w:sz w:val="24"/>
          <w:szCs w:val="24"/>
          <w:vertAlign w:val="superscript"/>
        </w:rPr>
      </w:pPr>
      <w:r w:rsidRPr="00485D46">
        <w:rPr>
          <w:rFonts w:ascii="Times New Roman" w:hAnsi="Times New Roman" w:cs="Times New Roman"/>
          <w:bCs/>
          <w:color w:val="000000" w:themeColor="text1"/>
          <w:sz w:val="24"/>
          <w:szCs w:val="24"/>
        </w:rPr>
        <w:t xml:space="preserve">Liz </w:t>
      </w:r>
      <w:r w:rsidR="004406ED" w:rsidRPr="00485D46">
        <w:rPr>
          <w:rFonts w:ascii="Times New Roman" w:hAnsi="Times New Roman" w:cs="Times New Roman"/>
          <w:bCs/>
          <w:color w:val="000000" w:themeColor="text1"/>
          <w:sz w:val="24"/>
          <w:szCs w:val="24"/>
        </w:rPr>
        <w:t>Dennett</w:t>
      </w:r>
      <w:r w:rsidR="00817740" w:rsidRPr="00485D46">
        <w:rPr>
          <w:rFonts w:ascii="Times New Roman" w:hAnsi="Times New Roman" w:cs="Times New Roman"/>
          <w:bCs/>
          <w:color w:val="000000" w:themeColor="text1"/>
          <w:sz w:val="24"/>
          <w:szCs w:val="24"/>
          <w:vertAlign w:val="superscript"/>
        </w:rPr>
        <w:t>7</w:t>
      </w:r>
    </w:p>
    <w:p w14:paraId="2C8A7C1D" w14:textId="62E8E76D" w:rsidR="00817740" w:rsidRPr="00485D46" w:rsidRDefault="0092303D" w:rsidP="005D0E2E">
      <w:pPr>
        <w:pStyle w:val="NoSpacing"/>
        <w:jc w:val="both"/>
        <w:rPr>
          <w:rFonts w:ascii="Times New Roman" w:hAnsi="Times New Roman" w:cs="Times New Roman"/>
          <w:bCs/>
          <w:color w:val="000000" w:themeColor="text1"/>
          <w:sz w:val="24"/>
          <w:szCs w:val="24"/>
          <w:vertAlign w:val="superscript"/>
        </w:rPr>
      </w:pPr>
      <w:r w:rsidRPr="00485D46">
        <w:rPr>
          <w:rFonts w:ascii="Times New Roman" w:hAnsi="Times New Roman" w:cs="Times New Roman"/>
          <w:bCs/>
          <w:color w:val="000000" w:themeColor="text1"/>
          <w:sz w:val="24"/>
          <w:szCs w:val="24"/>
        </w:rPr>
        <w:t xml:space="preserve">Lindsey </w:t>
      </w:r>
      <w:r w:rsidR="004406ED" w:rsidRPr="00485D46">
        <w:rPr>
          <w:rFonts w:ascii="Times New Roman" w:hAnsi="Times New Roman" w:cs="Times New Roman"/>
          <w:bCs/>
          <w:color w:val="000000" w:themeColor="text1"/>
          <w:sz w:val="24"/>
          <w:szCs w:val="24"/>
        </w:rPr>
        <w:t>Westover</w:t>
      </w:r>
      <w:r w:rsidR="00817740" w:rsidRPr="00485D46">
        <w:rPr>
          <w:rFonts w:ascii="Times New Roman" w:hAnsi="Times New Roman" w:cs="Times New Roman"/>
          <w:bCs/>
          <w:color w:val="000000" w:themeColor="text1"/>
          <w:sz w:val="24"/>
          <w:szCs w:val="24"/>
          <w:vertAlign w:val="superscript"/>
        </w:rPr>
        <w:t>8</w:t>
      </w:r>
    </w:p>
    <w:p w14:paraId="372D84A3" w14:textId="3236D8E1" w:rsidR="00817740" w:rsidRPr="00485D46" w:rsidRDefault="00817740" w:rsidP="005D0E2E">
      <w:pPr>
        <w:pStyle w:val="NoSpacing"/>
        <w:jc w:val="both"/>
        <w:rPr>
          <w:rFonts w:ascii="Times New Roman" w:hAnsi="Times New Roman" w:cs="Times New Roman"/>
          <w:bCs/>
          <w:color w:val="000000" w:themeColor="text1"/>
          <w:sz w:val="24"/>
          <w:szCs w:val="24"/>
        </w:rPr>
      </w:pPr>
      <w:proofErr w:type="spellStart"/>
      <w:r w:rsidRPr="00485D46">
        <w:rPr>
          <w:rFonts w:ascii="Times New Roman" w:hAnsi="Times New Roman" w:cs="Times New Roman"/>
          <w:bCs/>
          <w:color w:val="000000" w:themeColor="text1"/>
          <w:sz w:val="24"/>
          <w:szCs w:val="24"/>
        </w:rPr>
        <w:t>Thaer</w:t>
      </w:r>
      <w:proofErr w:type="spellEnd"/>
      <w:r w:rsidRPr="00485D46">
        <w:rPr>
          <w:rFonts w:ascii="Times New Roman" w:hAnsi="Times New Roman" w:cs="Times New Roman"/>
          <w:bCs/>
          <w:color w:val="000000" w:themeColor="text1"/>
          <w:sz w:val="24"/>
          <w:szCs w:val="24"/>
        </w:rPr>
        <w:t xml:space="preserve"> Manaseer</w:t>
      </w:r>
      <w:r w:rsidRPr="00485D46">
        <w:rPr>
          <w:rFonts w:ascii="Times New Roman" w:hAnsi="Times New Roman" w:cs="Times New Roman"/>
          <w:bCs/>
          <w:color w:val="000000" w:themeColor="text1"/>
          <w:sz w:val="24"/>
          <w:szCs w:val="24"/>
          <w:vertAlign w:val="superscript"/>
        </w:rPr>
        <w:t>1</w:t>
      </w:r>
    </w:p>
    <w:p w14:paraId="124F3493" w14:textId="403F13A9" w:rsidR="0092303D" w:rsidRPr="00485D46" w:rsidRDefault="0092303D" w:rsidP="005D0E2E">
      <w:pPr>
        <w:pStyle w:val="NoSpacing"/>
        <w:jc w:val="both"/>
        <w:rPr>
          <w:rFonts w:ascii="Times New Roman" w:hAnsi="Times New Roman" w:cs="Times New Roman"/>
          <w:bCs/>
          <w:color w:val="000000" w:themeColor="text1"/>
          <w:sz w:val="24"/>
          <w:szCs w:val="24"/>
          <w:vertAlign w:val="superscript"/>
        </w:rPr>
      </w:pPr>
      <w:r w:rsidRPr="00485D46">
        <w:rPr>
          <w:rFonts w:ascii="Times New Roman" w:hAnsi="Times New Roman" w:cs="Times New Roman"/>
          <w:bCs/>
          <w:color w:val="000000" w:themeColor="text1"/>
          <w:sz w:val="24"/>
          <w:szCs w:val="24"/>
        </w:rPr>
        <w:t>Lauren Beaupre</w:t>
      </w:r>
      <w:r w:rsidRPr="00485D46">
        <w:rPr>
          <w:rFonts w:ascii="Times New Roman" w:hAnsi="Times New Roman" w:cs="Times New Roman"/>
          <w:bCs/>
          <w:color w:val="000000" w:themeColor="text1"/>
          <w:sz w:val="24"/>
          <w:szCs w:val="24"/>
          <w:vertAlign w:val="superscript"/>
        </w:rPr>
        <w:t>1</w:t>
      </w:r>
      <w:proofErr w:type="gramStart"/>
      <w:r w:rsidR="0097651E" w:rsidRPr="00485D46">
        <w:rPr>
          <w:rFonts w:ascii="Times New Roman" w:hAnsi="Times New Roman" w:cs="Times New Roman"/>
          <w:bCs/>
          <w:color w:val="000000" w:themeColor="text1"/>
          <w:sz w:val="24"/>
          <w:szCs w:val="24"/>
          <w:vertAlign w:val="superscript"/>
        </w:rPr>
        <w:t>,</w:t>
      </w:r>
      <w:r w:rsidR="00817740" w:rsidRPr="00485D46">
        <w:rPr>
          <w:rFonts w:ascii="Times New Roman" w:hAnsi="Times New Roman" w:cs="Times New Roman"/>
          <w:bCs/>
          <w:color w:val="000000" w:themeColor="text1"/>
          <w:sz w:val="24"/>
          <w:szCs w:val="24"/>
          <w:vertAlign w:val="superscript"/>
        </w:rPr>
        <w:t>4</w:t>
      </w:r>
      <w:proofErr w:type="gramEnd"/>
    </w:p>
    <w:p w14:paraId="683EC877" w14:textId="4E49145F" w:rsidR="00B80253" w:rsidRPr="00485D46" w:rsidRDefault="00B80253" w:rsidP="005D0E2E">
      <w:pPr>
        <w:pStyle w:val="NoSpacing"/>
        <w:jc w:val="both"/>
        <w:rPr>
          <w:rFonts w:ascii="Times New Roman" w:hAnsi="Times New Roman" w:cs="Times New Roman"/>
          <w:b/>
          <w:color w:val="000000" w:themeColor="text1"/>
          <w:sz w:val="24"/>
          <w:szCs w:val="24"/>
        </w:rPr>
      </w:pPr>
    </w:p>
    <w:p w14:paraId="7D2AF1BF" w14:textId="73892D8F" w:rsidR="00817740" w:rsidRPr="00485D46" w:rsidRDefault="0092303D" w:rsidP="00817740">
      <w:pPr>
        <w:jc w:val="both"/>
        <w:rPr>
          <w:iCs/>
          <w:lang w:eastAsia="en-CA"/>
        </w:rPr>
      </w:pPr>
      <w:r w:rsidRPr="00485D46">
        <w:rPr>
          <w:iCs/>
          <w:vertAlign w:val="superscript"/>
          <w:lang w:eastAsia="en-CA"/>
        </w:rPr>
        <w:t>1</w:t>
      </w:r>
      <w:r w:rsidRPr="00485D46">
        <w:rPr>
          <w:iCs/>
          <w:lang w:eastAsia="en-CA"/>
        </w:rPr>
        <w:t>Faculty of Rehabilitation Medicine, University of Alberta, Edmonton, Canada</w:t>
      </w:r>
    </w:p>
    <w:p w14:paraId="7667201B" w14:textId="77777777" w:rsidR="00817740" w:rsidRPr="00485D46" w:rsidRDefault="00F6763F" w:rsidP="00817740">
      <w:pPr>
        <w:jc w:val="both"/>
        <w:rPr>
          <w:bCs/>
          <w:iCs/>
          <w:lang w:eastAsia="en-CA"/>
        </w:rPr>
      </w:pPr>
      <w:r w:rsidRPr="00485D46">
        <w:rPr>
          <w:iCs/>
          <w:vertAlign w:val="superscript"/>
          <w:lang w:eastAsia="en-CA"/>
        </w:rPr>
        <w:t>2</w:t>
      </w:r>
      <w:r w:rsidR="00817740" w:rsidRPr="00485D46">
        <w:rPr>
          <w:bCs/>
          <w:iCs/>
          <w:lang w:eastAsia="en-CA"/>
        </w:rPr>
        <w:t>Mirdif Center for Physiotherapy and Rehabilitation, Dubai, United Arab Emirates</w:t>
      </w:r>
    </w:p>
    <w:p w14:paraId="57276981" w14:textId="4EE1FFED" w:rsidR="00F6763F" w:rsidRPr="00485D46" w:rsidRDefault="00817740" w:rsidP="00817740">
      <w:pPr>
        <w:jc w:val="both"/>
        <w:rPr>
          <w:bCs/>
          <w:iCs/>
          <w:lang w:eastAsia="en-CA"/>
        </w:rPr>
      </w:pPr>
      <w:r w:rsidRPr="00485D46">
        <w:rPr>
          <w:iCs/>
          <w:vertAlign w:val="superscript"/>
          <w:lang w:eastAsia="en-CA"/>
        </w:rPr>
        <w:t>3</w:t>
      </w:r>
      <w:r w:rsidR="00F6763F" w:rsidRPr="00485D46">
        <w:rPr>
          <w:iCs/>
          <w:lang w:eastAsia="en-CA"/>
        </w:rPr>
        <w:t>Faculty of Medicine &amp; Dentistry, University of Alberta, Edmonton, Canada</w:t>
      </w:r>
    </w:p>
    <w:p w14:paraId="72F7D6AB" w14:textId="3680A39D" w:rsidR="004406ED" w:rsidRPr="00485D46" w:rsidRDefault="00817740" w:rsidP="00817740">
      <w:pPr>
        <w:jc w:val="both"/>
        <w:rPr>
          <w:iCs/>
          <w:lang w:eastAsia="en-CA"/>
        </w:rPr>
      </w:pPr>
      <w:r w:rsidRPr="00485D46">
        <w:rPr>
          <w:iCs/>
          <w:vertAlign w:val="superscript"/>
          <w:lang w:eastAsia="en-CA"/>
        </w:rPr>
        <w:t>4</w:t>
      </w:r>
      <w:r w:rsidR="004406ED" w:rsidRPr="00485D46">
        <w:rPr>
          <w:iCs/>
          <w:lang w:eastAsia="en-CA"/>
        </w:rPr>
        <w:t xml:space="preserve">Division of </w:t>
      </w:r>
      <w:proofErr w:type="spellStart"/>
      <w:r w:rsidR="004406ED" w:rsidRPr="00485D46">
        <w:rPr>
          <w:iCs/>
          <w:lang w:eastAsia="en-CA"/>
        </w:rPr>
        <w:t>Orthopedic</w:t>
      </w:r>
      <w:proofErr w:type="spellEnd"/>
      <w:r w:rsidR="004406ED" w:rsidRPr="00485D46">
        <w:rPr>
          <w:iCs/>
          <w:lang w:eastAsia="en-CA"/>
        </w:rPr>
        <w:t xml:space="preserve"> Surgery, Department of Surgery, Faculty of Medicine &amp; Dentistry, University of Alberta, Edmonton, Canada</w:t>
      </w:r>
    </w:p>
    <w:p w14:paraId="5382D8B4" w14:textId="3E46FAAF" w:rsidR="0092303D" w:rsidRPr="00485D46" w:rsidRDefault="00817740" w:rsidP="00817740">
      <w:pPr>
        <w:jc w:val="both"/>
        <w:rPr>
          <w:iCs/>
          <w:lang w:eastAsia="en-CA"/>
        </w:rPr>
      </w:pPr>
      <w:r w:rsidRPr="00485D46">
        <w:rPr>
          <w:iCs/>
          <w:vertAlign w:val="superscript"/>
          <w:lang w:eastAsia="en-CA"/>
        </w:rPr>
        <w:t>5</w:t>
      </w:r>
      <w:r w:rsidR="004406ED" w:rsidRPr="00485D46">
        <w:rPr>
          <w:iCs/>
          <w:lang w:eastAsia="en-CA"/>
        </w:rPr>
        <w:t xml:space="preserve">Glen </w:t>
      </w:r>
      <w:r w:rsidR="0092303D" w:rsidRPr="00485D46">
        <w:rPr>
          <w:iCs/>
          <w:lang w:eastAsia="en-CA"/>
        </w:rPr>
        <w:t>Sather Sports Medicine Clinic, University of Alberta, Edmonton, Canada</w:t>
      </w:r>
    </w:p>
    <w:p w14:paraId="08A0B60C" w14:textId="625BF5B6" w:rsidR="00817740" w:rsidRPr="00485D46" w:rsidRDefault="00817740" w:rsidP="00817740">
      <w:pPr>
        <w:rPr>
          <w:shd w:val="clear" w:color="auto" w:fill="FFFFFF"/>
        </w:rPr>
      </w:pPr>
      <w:r w:rsidRPr="00485D46">
        <w:rPr>
          <w:shd w:val="clear" w:color="auto" w:fill="FFFFFF"/>
          <w:vertAlign w:val="superscript"/>
        </w:rPr>
        <w:t>6</w:t>
      </w:r>
      <w:r w:rsidRPr="00485D46">
        <w:rPr>
          <w:shd w:val="clear" w:color="auto" w:fill="FFFFFF"/>
        </w:rPr>
        <w:t>Orthopedic Surgery, Alberta Health Services, Edmonton, Canada</w:t>
      </w:r>
    </w:p>
    <w:p w14:paraId="6CCFD3D9" w14:textId="56E343A2" w:rsidR="0092303D" w:rsidRPr="00485D46" w:rsidRDefault="00817740" w:rsidP="00817740">
      <w:pPr>
        <w:jc w:val="both"/>
      </w:pPr>
      <w:r w:rsidRPr="00485D46">
        <w:rPr>
          <w:iCs/>
          <w:vertAlign w:val="superscript"/>
          <w:lang w:eastAsia="en-CA"/>
        </w:rPr>
        <w:t>7</w:t>
      </w:r>
      <w:r w:rsidR="004406ED" w:rsidRPr="00485D46">
        <w:rPr>
          <w:color w:val="222222"/>
          <w:shd w:val="clear" w:color="auto" w:fill="FFFFFF"/>
        </w:rPr>
        <w:t xml:space="preserve">John </w:t>
      </w:r>
      <w:r w:rsidR="0092303D" w:rsidRPr="00485D46">
        <w:rPr>
          <w:color w:val="222222"/>
          <w:shd w:val="clear" w:color="auto" w:fill="FFFFFF"/>
        </w:rPr>
        <w:t>W. Scott Health Sciences Library, University of Alberta</w:t>
      </w:r>
      <w:r w:rsidR="0092303D" w:rsidRPr="00485D46">
        <w:t>, Edmonton, Canada</w:t>
      </w:r>
    </w:p>
    <w:p w14:paraId="083984CA" w14:textId="77256029" w:rsidR="0092303D" w:rsidRPr="00485D46" w:rsidRDefault="00817740" w:rsidP="00817740">
      <w:pPr>
        <w:jc w:val="both"/>
        <w:rPr>
          <w:iCs/>
          <w:lang w:eastAsia="en-CA"/>
        </w:rPr>
      </w:pPr>
      <w:r w:rsidRPr="00485D46">
        <w:rPr>
          <w:iCs/>
          <w:vertAlign w:val="superscript"/>
          <w:lang w:eastAsia="en-CA"/>
        </w:rPr>
        <w:t>8</w:t>
      </w:r>
      <w:r w:rsidR="004406ED" w:rsidRPr="00485D46">
        <w:rPr>
          <w:iCs/>
          <w:lang w:eastAsia="en-CA"/>
        </w:rPr>
        <w:t xml:space="preserve">Faculty </w:t>
      </w:r>
      <w:r w:rsidR="0092303D" w:rsidRPr="00485D46">
        <w:rPr>
          <w:iCs/>
          <w:lang w:eastAsia="en-CA"/>
        </w:rPr>
        <w:t>of Engineering, University of Alberta, Edmonton, Canada</w:t>
      </w:r>
    </w:p>
    <w:p w14:paraId="08C5C107" w14:textId="77777777" w:rsidR="0097651E" w:rsidRPr="00485D46" w:rsidRDefault="0097651E" w:rsidP="0092303D">
      <w:pPr>
        <w:jc w:val="both"/>
        <w:rPr>
          <w:iCs/>
          <w:lang w:eastAsia="en-CA"/>
        </w:rPr>
      </w:pPr>
    </w:p>
    <w:p w14:paraId="151F7894" w14:textId="77777777" w:rsidR="0092303D" w:rsidRPr="00485D46" w:rsidRDefault="0092303D" w:rsidP="0092303D">
      <w:pPr>
        <w:jc w:val="both"/>
        <w:rPr>
          <w:iCs/>
          <w:lang w:eastAsia="en-CA"/>
        </w:rPr>
      </w:pPr>
    </w:p>
    <w:p w14:paraId="7F1480BE" w14:textId="77777777" w:rsidR="005A3833" w:rsidRPr="00485D46" w:rsidRDefault="005A3833" w:rsidP="005D0E2E">
      <w:pPr>
        <w:pStyle w:val="NoSpacing"/>
        <w:jc w:val="both"/>
        <w:rPr>
          <w:rFonts w:ascii="Times New Roman" w:hAnsi="Times New Roman" w:cs="Times New Roman"/>
          <w:b/>
          <w:color w:val="000000" w:themeColor="text1"/>
          <w:sz w:val="24"/>
          <w:szCs w:val="24"/>
        </w:rPr>
      </w:pPr>
    </w:p>
    <w:p w14:paraId="705EE9B0" w14:textId="6A1D82C4" w:rsidR="00B80253" w:rsidRPr="00485D46" w:rsidRDefault="00B80253" w:rsidP="005D0E2E">
      <w:pPr>
        <w:pStyle w:val="NoSpacing"/>
        <w:jc w:val="both"/>
        <w:rPr>
          <w:rFonts w:ascii="Times New Roman" w:hAnsi="Times New Roman" w:cs="Times New Roman"/>
          <w:b/>
          <w:color w:val="000000" w:themeColor="text1"/>
          <w:sz w:val="24"/>
          <w:szCs w:val="24"/>
        </w:rPr>
      </w:pPr>
      <w:r w:rsidRPr="00485D46">
        <w:rPr>
          <w:rFonts w:ascii="Times New Roman" w:hAnsi="Times New Roman" w:cs="Times New Roman"/>
          <w:b/>
          <w:color w:val="000000" w:themeColor="text1"/>
          <w:sz w:val="24"/>
          <w:szCs w:val="24"/>
        </w:rPr>
        <w:t>I</w:t>
      </w:r>
      <w:r w:rsidR="005A3833" w:rsidRPr="00485D46">
        <w:rPr>
          <w:rFonts w:ascii="Times New Roman" w:hAnsi="Times New Roman" w:cs="Times New Roman"/>
          <w:b/>
          <w:color w:val="000000" w:themeColor="text1"/>
          <w:sz w:val="24"/>
          <w:szCs w:val="24"/>
        </w:rPr>
        <w:t>NTRODUCTION</w:t>
      </w:r>
    </w:p>
    <w:p w14:paraId="04380897" w14:textId="67181D0A" w:rsidR="00B80253" w:rsidRPr="00485D46" w:rsidRDefault="00B80253" w:rsidP="005D0E2E">
      <w:pPr>
        <w:pStyle w:val="NoSpacing"/>
        <w:jc w:val="both"/>
        <w:rPr>
          <w:rFonts w:ascii="Times New Roman" w:hAnsi="Times New Roman" w:cs="Times New Roman"/>
          <w:b/>
          <w:color w:val="000000" w:themeColor="text1"/>
          <w:sz w:val="24"/>
          <w:szCs w:val="24"/>
        </w:rPr>
      </w:pPr>
    </w:p>
    <w:p w14:paraId="131EB228" w14:textId="42DF0383" w:rsidR="006325B9" w:rsidRPr="00485D46" w:rsidRDefault="009479B7" w:rsidP="005D0E2E">
      <w:pPr>
        <w:pStyle w:val="NormalWeb"/>
        <w:shd w:val="clear" w:color="auto" w:fill="FFFFFF"/>
        <w:spacing w:before="0" w:beforeAutospacing="0" w:after="0" w:afterAutospacing="0"/>
        <w:jc w:val="both"/>
        <w:textAlignment w:val="top"/>
        <w:rPr>
          <w:color w:val="000000" w:themeColor="text1"/>
        </w:rPr>
      </w:pPr>
      <w:r w:rsidRPr="00485D46">
        <w:rPr>
          <w:color w:val="000000" w:themeColor="text1"/>
        </w:rPr>
        <w:t>An anterior cruciate ligament (ACL) rupture is a devastating injury that frequently occurs in sports.</w:t>
      </w:r>
      <w:r w:rsidRPr="00485D46">
        <w:rPr>
          <w:color w:val="000000" w:themeColor="text1"/>
        </w:rPr>
        <w:fldChar w:fldCharType="begin" w:fldLock="1"/>
      </w:r>
      <w:r w:rsidRPr="00485D46">
        <w:rPr>
          <w:color w:val="000000" w:themeColor="text1"/>
        </w:rPr>
        <w:instrText>ADDIN CSL_CITATION {"citationItems":[{"id":"ITEM-1","itemData":{"DOI":"10.1177/2325967116631949","ISSN":"23259671","PMID":"26998501","abstract":"Background: There is a high incidence of anterior cruciate ligament (ACL) injuries among National Football League (NFL) athletes; however, the incidence of reinjury in this population is unknown. Purpose: This retrospective epidemiological study analyzed all publicly disclosed ACL tears occurring in NFL players between 2010 and 2013 to characterize injury trends and determine the incidence of reinjury. Study Design: Descriptive epidemiological study. Methods: A comprehensive online search identified any NFL player who had suffered an ACL injury from 2010 to 2013. Position, playing surface, activity, and date were recorded. Each player was researched for any history of previous ACL injury. The NFL games database from USA Today was used to determine the incidence of ACL injuries on artificial turf and grass fields. Databases from Pro Football Focus and Pro Football Reference were used to determine the injury rate for each position. Results: NFL players suffered 219 ACL injuries between 2010 and 2013. Forty players (18.3%) had a history of previous ACL injury, with 27 (12.3%) retears and 16 (7.3%) tears contralateral to a previous ACL injury. Five players (2.28%) suffered their third ACL tear. Receivers (wide receivers and tight ends) and backs (linebackers, fullbacks, and halfbacks) had significantly greater injury risk than the rest of the NFL players, while perimeter linemen (defensive ends and offensive tackles) had significantly lower injury risk than the rest of the players. Interior linemen (offensive guards, centers, and defensive tackles) had significantly greater injury risk compared with perimeter linemen. ACL injury rates per team games played were 0.050 for grass and 0.053 for turf fields (P &gt;.05). Conclusion: In this retrospective epidemiological study of ACL tears in NFL players, retears and ACL tears contralateral to a previously torn ACL constituted a substantial portion (18.3%) of total ACL injuries. The significant majority of ACL injuries in players with a history of previous ACL injury were retears. Skilled offensive players and linebackers had the greatest injury risk, and significantly more ACL tears occurred among interior linemen than perimeter linemen. The month of August had the highest incidence of ACL injuries, probably because of expanded roster sizes at that point in the NFL season.","author":[{"dropping-particle":"","family":"Dodson","given":"Christopher C.","non-dropping-particle":"","parse-names":false,"suffix":""},{"dropping-particle":"","family":"Secrist","given":"Eric S.","non-dropping-particle":"","parse-names":false,"suffix":""},{"dropping-particle":"","family":"Bhat","given":"Suneel B.","non-dropping-particle":"","parse-names":false,"suffix":""},{"dropping-particle":"","family":"Woods","given":"Daniel P.","non-dropping-particle":"","parse-names":false,"suffix":""},{"dropping-particle":"","family":"Deluca","given":"Peter F.","non-dropping-particle":"","parse-names":false,"suffix":""}],"container-title":"Orthopaedic Journal of Sports Medicine","id":"ITEM-1","issue":"3","issued":{"date-parts":[["2016","3","3"]]},"publisher":"SAGE Publications Ltd","title":"Anterior Cruciate Ligament Injuries in National Football League Athletes From 2010 to 2013: A Descriptive Epidemiology Study","type":"article-journal","volume":"4"},"uris":["http://www.mendeley.com/documents/?uuid=33e7c269-41b2-30e4-8b50-e47cfd428bff"]}],"mendeley":{"formattedCitation":"&lt;sup&gt;1&lt;/sup&gt;","plainTextFormattedCitation":"1","previouslyFormattedCitation":"&lt;sup&gt;1&lt;/sup&gt;"},"properties":{"noteIndex":0},"schema":"https://github.com/citation-style-language/schema/raw/master/csl-citation.json"}</w:instrText>
      </w:r>
      <w:r w:rsidRPr="00485D46">
        <w:rPr>
          <w:color w:val="000000" w:themeColor="text1"/>
        </w:rPr>
        <w:fldChar w:fldCharType="separate"/>
      </w:r>
      <w:r w:rsidRPr="00485D46">
        <w:rPr>
          <w:noProof/>
          <w:color w:val="000000" w:themeColor="text1"/>
          <w:vertAlign w:val="superscript"/>
        </w:rPr>
        <w:t>1</w:t>
      </w:r>
      <w:r w:rsidRPr="00485D46">
        <w:rPr>
          <w:color w:val="000000" w:themeColor="text1"/>
        </w:rPr>
        <w:fldChar w:fldCharType="end"/>
      </w:r>
      <w:r w:rsidRPr="00485D46">
        <w:rPr>
          <w:color w:val="000000" w:themeColor="text1"/>
        </w:rPr>
        <w:t xml:space="preserve"> A</w:t>
      </w:r>
      <w:r w:rsidR="00E959D4" w:rsidRPr="00485D46">
        <w:rPr>
          <w:color w:val="000000" w:themeColor="text1"/>
        </w:rPr>
        <w:t>nterior cruciate ligament</w:t>
      </w:r>
      <w:r w:rsidRPr="00485D46">
        <w:rPr>
          <w:color w:val="000000" w:themeColor="text1"/>
        </w:rPr>
        <w:t xml:space="preserve"> reconstruction (ACLR) is often recommended to restore joint stability and minimize potential damage to articular cartilage and menisci.</w:t>
      </w:r>
      <w:r w:rsidRPr="00485D46">
        <w:rPr>
          <w:color w:val="000000" w:themeColor="text1"/>
        </w:rPr>
        <w:fldChar w:fldCharType="begin" w:fldLock="1"/>
      </w:r>
      <w:r w:rsidRPr="00485D46">
        <w:rPr>
          <w:color w:val="000000" w:themeColor="text1"/>
        </w:rPr>
        <w:instrText>ADDIN CSL_CITATION {"citationItems":[{"id":"ITEM-1","itemData":{"DOI":"10.1016/j.arthro.2013.07.270","ISSN":"07498063","abstract":"Purpose We aimed to perform a systematic review of the literature concerned with timing of surgery after anterior cruciate ligament injury. Methods A systematic electronic search in Medline through PubMed, Embase, and the Cochrane Library was carried out in October 2011. All English-language randomized controlled clinical trials, prospective comparative cohort studies, and prognostic and diagnostic studies published from January 1995 to August 2011 were eligible for inclusion. All articles addressing timing of surgery were eligible for inclusion regardless of injury-to-surgery interval, graft type, surgical technique, or rehabilitation. The Preferred Reporting Items for Systematic Reviews and Meta-Analyses (PRISMA) checklist guided the reporting and data abstraction. Methodologic quality of all included articles was carefully assessed. Results We included 22 articles (3,583 patients) in the systematic review. Study design, research methodology, surgical technique, and outcome measurements differed greatly among included articles. The injury-to-surgery interval, classified as early and delayed, ranged from within 2 days to 7 months and 3 weeks to 24 years, respectively. Eight articles promoted early reconstruction, whereas the majority of articles found no difference in outcome between early and delayed surgery. Two articles were inconclusive. Conclusions There were few or no differences in subjective and objective outcomes related to timing of anterior cruciate ligament reconstruction. Level of Evidence Level II, systematic review of Level I and II studies. © 2013 The Arthroscopy Association of North America. Published by Elsevier Inc. All Rights Reserved.","author":[{"dropping-particle":"","family":"Andernord","given":"Daniel","non-dropping-particle":"","parse-names":false,"suffix":""},{"dropping-particle":"","family":"Karlsson","given":"Jón","non-dropping-particle":"","parse-names":false,"suffix":""},{"dropping-particle":"","family":"Musahl","given":"Volker","non-dropping-particle":"","parse-names":false,"suffix":""},{"dropping-particle":"","family":"Bhandari","given":"Mohit","non-dropping-particle":"","parse-names":false,"suffix":""},{"dropping-particle":"","family":"Fu","given":"Freddie H.","non-dropping-particle":"","parse-names":false,"suffix":""},{"dropping-particle":"","family":"Samuelsson","given":"Kristian","non-dropping-particle":"","parse-names":false,"suffix":""}],"container-title":"Arthroscopy - Journal of Arthroscopic and Related Surgery","id":"ITEM-1","issue":"11","issued":{"date-parts":[["2013","11"]]},"page":"1863-1871","title":"Timing of surgery of the anterior cruciate ligament","type":"article","volume":"29"},"uris":["http://www.mendeley.com/documents/?uuid=ac6f8678-a179-3caa-9cfb-84994b99d4a6"]}],"mendeley":{"formattedCitation":"&lt;sup&gt;2&lt;/sup&gt;","plainTextFormattedCitation":"2","previouslyFormattedCitation":"&lt;sup&gt;2&lt;/sup&gt;"},"properties":{"noteIndex":0},"schema":"https://github.com/citation-style-language/schema/raw/master/csl-citation.json"}</w:instrText>
      </w:r>
      <w:r w:rsidRPr="00485D46">
        <w:rPr>
          <w:color w:val="000000" w:themeColor="text1"/>
        </w:rPr>
        <w:fldChar w:fldCharType="separate"/>
      </w:r>
      <w:r w:rsidRPr="00485D46">
        <w:rPr>
          <w:noProof/>
          <w:color w:val="000000" w:themeColor="text1"/>
          <w:vertAlign w:val="superscript"/>
        </w:rPr>
        <w:t>2</w:t>
      </w:r>
      <w:r w:rsidRPr="00485D46">
        <w:rPr>
          <w:color w:val="000000" w:themeColor="text1"/>
        </w:rPr>
        <w:fldChar w:fldCharType="end"/>
      </w:r>
      <w:r w:rsidRPr="00485D46">
        <w:rPr>
          <w:color w:val="000000" w:themeColor="text1"/>
        </w:rPr>
        <w:t xml:space="preserve"> It has been </w:t>
      </w:r>
      <w:proofErr w:type="gramStart"/>
      <w:r w:rsidR="004406ED" w:rsidRPr="00485D46">
        <w:rPr>
          <w:color w:val="000000" w:themeColor="text1"/>
        </w:rPr>
        <w:t xml:space="preserve">reported  </w:t>
      </w:r>
      <w:r w:rsidRPr="00485D46">
        <w:rPr>
          <w:color w:val="000000" w:themeColor="text1"/>
        </w:rPr>
        <w:t>that</w:t>
      </w:r>
      <w:proofErr w:type="gramEnd"/>
      <w:r w:rsidRPr="00485D46">
        <w:rPr>
          <w:color w:val="000000" w:themeColor="text1"/>
        </w:rPr>
        <w:t xml:space="preserve"> </w:t>
      </w:r>
      <w:r w:rsidR="005E00DF" w:rsidRPr="00485D46">
        <w:rPr>
          <w:color w:val="000000" w:themeColor="text1"/>
        </w:rPr>
        <w:t xml:space="preserve">the proportion of individuals who </w:t>
      </w:r>
      <w:r w:rsidRPr="00485D46">
        <w:rPr>
          <w:color w:val="000000" w:themeColor="text1"/>
        </w:rPr>
        <w:t xml:space="preserve">return to competitive levels </w:t>
      </w:r>
      <w:r w:rsidR="004406ED" w:rsidRPr="00485D46">
        <w:rPr>
          <w:color w:val="000000" w:themeColor="text1"/>
        </w:rPr>
        <w:t xml:space="preserve">following ACLR is 55% </w:t>
      </w:r>
      <w:r w:rsidR="003A1C5C" w:rsidRPr="00485D46">
        <w:rPr>
          <w:color w:val="000000" w:themeColor="text1"/>
        </w:rPr>
        <w:t>(95%CI: 46%-63%) while 81%</w:t>
      </w:r>
      <w:r w:rsidR="004406ED" w:rsidRPr="00485D46">
        <w:rPr>
          <w:color w:val="000000" w:themeColor="text1"/>
        </w:rPr>
        <w:t xml:space="preserve"> </w:t>
      </w:r>
      <w:r w:rsidR="003A1C5C" w:rsidRPr="00485D46">
        <w:rPr>
          <w:color w:val="000000" w:themeColor="text1"/>
        </w:rPr>
        <w:t xml:space="preserve">(95%CI: 46%-63%) </w:t>
      </w:r>
      <w:r w:rsidR="004406ED" w:rsidRPr="00485D46">
        <w:rPr>
          <w:color w:val="000000" w:themeColor="text1"/>
        </w:rPr>
        <w:t>return to any sport</w:t>
      </w:r>
      <w:r w:rsidR="003A1C5C" w:rsidRPr="00485D46">
        <w:rPr>
          <w:color w:val="000000" w:themeColor="text1"/>
        </w:rPr>
        <w:t>.</w:t>
      </w:r>
      <w:r w:rsidRPr="00485D46">
        <w:rPr>
          <w:color w:val="000000" w:themeColor="text1"/>
        </w:rPr>
        <w:fldChar w:fldCharType="begin" w:fldLock="1"/>
      </w:r>
      <w:r w:rsidR="00E6003F" w:rsidRPr="00485D46">
        <w:rPr>
          <w:color w:val="000000" w:themeColor="text1"/>
        </w:rPr>
        <w:instrText>ADDIN CSL_CITATION {"citationItems":[{"id":"ITEM-1","itemData":{"DOI":"10.1136/bjsports-2013-093398","ISSN":"14730480","PMID":"25157180","abstract":"Background The aim of this study was to update our original systematic review of return to sport rates following anterior cruciate ligament (ACL) reconstruction surgery. Method Electronic databases were searched from April 2010 to November 2013 for articles reporting the number of patients returning to sport following ACL reconstruction surgery. Return to sport rates, physical functioning and contextual data were extracted and combined using random-effects meta-analyses. Data from the original review (articles published up to April 2010) were combined with data from the updated search. Results Sixty-nine articles, reporting on 7556 participants, were reviewed. On average, 81% of people returned to any sport, 65% returned to their preinjury level of sport and 55% returned to competitive level sport after surgery. Symmetrical hopping performance (d=0.3) and the contextual factors of younger age (d=-0.3), male gender (OR=1.4), playing elite sport (OR=2.5) and having a positive psychological response (d=0.3) favoured returning to the preinjury level sport. Receiving a hamstring tendon autograft favoured returning to competitive level sport (OR=2.4), whereas receiving a patellar tendon autograft favoured returning to the preinjury level sport (OR=1.2). Conclusions Returning to sport varied according to different physical functioning and contextual factors, which could warrant additional emphasis in postoperative rehabilitation programmes to maximise participation.","author":[{"dropping-particle":"","family":"Ardern","given":"Clare L.","non-dropping-particle":"","parse-names":false,"suffix":""},{"dropping-particle":"","family":"Taylor","given":"Nicholas F.","non-dropping-particle":"","parse-names":false,"suffix":""},{"dropping-particle":"","family":"Feller","given":"Julian A.","non-dropping-particle":"","parse-names":false,"suffix":""},{"dropping-particle":"","family":"Webster","given":"Kate E.","non-dropping-particle":"","parse-names":false,"suffix":""}],"container-title":"British Journal of Sports Medicine","id":"ITEM-1","issue":"21","issued":{"date-parts":[["2014","11","1"]]},"page":"1543-1552","publisher":"BMJ Publishing Group","title":"Fifty-five per cent return to competitive sport following anterior cruciate ligament reconstruction surgery: An updated systematic review and meta-analysis including aspects of physical functioning and contextual factors","type":"article-journal","volume":"48"},"uris":["http://www.mendeley.com/documents/?uuid=aba720cb-10d6-38d7-ba7b-e87439b9747a"]}],"mendeley":{"formattedCitation":"&lt;sup&gt;3&lt;/sup&gt;","plainTextFormattedCitation":"3","previouslyFormattedCitation":"&lt;sup&gt;3&lt;/sup&gt;"},"properties":{"noteIndex":0},"schema":"https://github.com/citation-style-language/schema/raw/master/csl-citation.json"}</w:instrText>
      </w:r>
      <w:r w:rsidRPr="00485D46">
        <w:rPr>
          <w:color w:val="000000" w:themeColor="text1"/>
        </w:rPr>
        <w:fldChar w:fldCharType="separate"/>
      </w:r>
      <w:r w:rsidR="00E36614" w:rsidRPr="00485D46">
        <w:rPr>
          <w:noProof/>
          <w:color w:val="000000" w:themeColor="text1"/>
          <w:vertAlign w:val="superscript"/>
        </w:rPr>
        <w:t>3</w:t>
      </w:r>
      <w:r w:rsidRPr="00485D46">
        <w:rPr>
          <w:color w:val="000000" w:themeColor="text1"/>
        </w:rPr>
        <w:fldChar w:fldCharType="end"/>
      </w:r>
      <w:r w:rsidRPr="00485D46">
        <w:rPr>
          <w:color w:val="000000" w:themeColor="text1"/>
        </w:rPr>
        <w:t xml:space="preserve"> However, up to </w:t>
      </w:r>
      <w:r w:rsidR="00860DF5" w:rsidRPr="00485D46">
        <w:rPr>
          <w:color w:val="000000" w:themeColor="text1"/>
        </w:rPr>
        <w:t>38</w:t>
      </w:r>
      <w:r w:rsidRPr="00485D46">
        <w:rPr>
          <w:color w:val="000000" w:themeColor="text1"/>
        </w:rPr>
        <w:t>% of elite athletes reduce their participation levels or stop their career within three years</w:t>
      </w:r>
      <w:r w:rsidR="00E959D4" w:rsidRPr="00485D46">
        <w:rPr>
          <w:color w:val="000000" w:themeColor="text1"/>
        </w:rPr>
        <w:t xml:space="preserve"> after ACLR</w:t>
      </w:r>
      <w:r w:rsidRPr="00485D46">
        <w:rPr>
          <w:color w:val="000000" w:themeColor="text1"/>
        </w:rPr>
        <w:t>.</w:t>
      </w:r>
      <w:r w:rsidRPr="00485D46">
        <w:rPr>
          <w:color w:val="000000" w:themeColor="text1"/>
        </w:rPr>
        <w:fldChar w:fldCharType="begin" w:fldLock="1"/>
      </w:r>
      <w:r w:rsidR="00E6003F" w:rsidRPr="00485D46">
        <w:rPr>
          <w:color w:val="000000" w:themeColor="text1"/>
        </w:rPr>
        <w:instrText>ADDIN CSL_CITATION {"citationItems":[{"id":"ITEM-1","itemData":{"DOI":"10.1136/bjsports-2015-095952","ISSN":"14730480","abstract":"Background Studies investigating the development of ACL injuries over time in football are scarce and more data on what happens before and after return to play (RTP) are needed. Aim To investigate (1) time trends in ACL injury rates, (2) complication rates before return to match play following ACL reconstruction, and (3) the influence of ACL injury on the subsequent playing career in male professional football players. Methods 78 clubs were followed between 2001 and 2015. Time trend in ACL injury rate was analysed using linear regression. ACL-injured players were monitored until RTP and tracked for 3 years after RTP. Results We recorded 157 ACL injuries, 140 total and 17 partial ruptures, with a non-significant average annual increase in the ACL injury rate by 6% (R2=0.13, b=0.059, 95% CI -0.04 to 0.15, p=0.20). The match ACL injury rate was 20-fold higher than the training injury rate (0.340 vs 0.017 per 1000 h). 138 players (98.6%) with a total rupture underwent ACL reconstruction; all 134 players with RTP data (4 players still under rehabilitation) were able to return to training, but 9 of them (6.7%) suffered complications before their first match appearance (5 reruptures and 4 other knee surgeries). The median layoff after ACL reconstruction was 6.6 months to training and 7.4 months to match play. We report 3-year follow-up data for 106 players in total; 91 players (85.8%) were still playing football and 60 of 93 players (65%) with ACL reconstruction for a total rupture played at the same level. Conclusions The ACL injury rate has not declined during the 2000s and the rerupture rate before return to match play was 4%. The RTP rate within a year after ACL reconstruction was very high, but only two-thirds competed at the highest level 3 years later.","author":[{"dropping-particle":"","family":"Waldén","given":"Markus","non-dropping-particle":"","parse-names":false,"suffix":""},{"dropping-particle":"","family":"Hägglund","given":"Martin","non-dropping-particle":"","parse-names":false,"suffix":""},{"dropping-particle":"","family":"Magnusson","given":"Henrik","non-dropping-particle":"","parse-names":false,"suffix":""},{"dropping-particle":"","family":"Ekstrand","given":"Jan","non-dropping-particle":"","parse-names":false,"suffix":""}],"container-title":"British Journal of Sports Medicine","id":"ITEM-1","issue":"12","issued":{"date-parts":[["2016","6","1"]]},"page":"744-750","publisher":"BMJ Publishing Group","title":"ACL injuries in men's professional football: A 15-year prospective study on time trends and return-to-play rates reveals only 65% of players still play at the top level 3 years after ACL rupture","type":"article-journal","volume":"50"},"uris":["http://www.mendeley.com/documents/?uuid=13e03280-3458-38a1-b5bf-710b6aca2254"]}],"mendeley":{"formattedCitation":"&lt;sup&gt;4&lt;/sup&gt;","plainTextFormattedCitation":"4","previouslyFormattedCitation":"&lt;sup&gt;4&lt;/sup&gt;"},"properties":{"noteIndex":0},"schema":"https://github.com/citation-style-language/schema/raw/master/csl-citation.json"}</w:instrText>
      </w:r>
      <w:r w:rsidRPr="00485D46">
        <w:rPr>
          <w:color w:val="000000" w:themeColor="text1"/>
        </w:rPr>
        <w:fldChar w:fldCharType="separate"/>
      </w:r>
      <w:r w:rsidR="00E36614" w:rsidRPr="00485D46">
        <w:rPr>
          <w:noProof/>
          <w:color w:val="000000" w:themeColor="text1"/>
          <w:vertAlign w:val="superscript"/>
        </w:rPr>
        <w:t>4</w:t>
      </w:r>
      <w:r w:rsidRPr="00485D46">
        <w:rPr>
          <w:color w:val="000000" w:themeColor="text1"/>
        </w:rPr>
        <w:fldChar w:fldCharType="end"/>
      </w:r>
      <w:r w:rsidRPr="00485D46">
        <w:rPr>
          <w:color w:val="000000" w:themeColor="text1"/>
        </w:rPr>
        <w:t xml:space="preserve"> Moreover, 20%-25% </w:t>
      </w:r>
      <w:r w:rsidR="005E00DF" w:rsidRPr="00485D46">
        <w:rPr>
          <w:color w:val="000000" w:themeColor="text1"/>
        </w:rPr>
        <w:t>of</w:t>
      </w:r>
      <w:r w:rsidR="006325B9" w:rsidRPr="00485D46">
        <w:rPr>
          <w:color w:val="000000" w:themeColor="text1"/>
        </w:rPr>
        <w:t xml:space="preserve"> post-ACLR </w:t>
      </w:r>
      <w:r w:rsidR="001955A3" w:rsidRPr="00485D46">
        <w:rPr>
          <w:color w:val="000000" w:themeColor="text1"/>
        </w:rPr>
        <w:t>individuals</w:t>
      </w:r>
      <w:r w:rsidR="00F80B0C" w:rsidRPr="00485D46">
        <w:rPr>
          <w:color w:val="000000" w:themeColor="text1"/>
        </w:rPr>
        <w:t xml:space="preserve"> </w:t>
      </w:r>
      <w:r w:rsidRPr="00485D46">
        <w:rPr>
          <w:color w:val="000000" w:themeColor="text1"/>
        </w:rPr>
        <w:t xml:space="preserve">experience a re-rupture or </w:t>
      </w:r>
      <w:r w:rsidR="005E00DF" w:rsidRPr="00485D46">
        <w:rPr>
          <w:color w:val="000000" w:themeColor="text1"/>
        </w:rPr>
        <w:t xml:space="preserve">a </w:t>
      </w:r>
      <w:r w:rsidRPr="00485D46">
        <w:rPr>
          <w:color w:val="000000" w:themeColor="text1"/>
        </w:rPr>
        <w:t>contralateral ACL injury.</w:t>
      </w:r>
      <w:r w:rsidRPr="00485D46">
        <w:rPr>
          <w:color w:val="000000" w:themeColor="text1"/>
        </w:rPr>
        <w:fldChar w:fldCharType="begin" w:fldLock="1"/>
      </w:r>
      <w:r w:rsidR="00485D46">
        <w:rPr>
          <w:color w:val="000000" w:themeColor="text1"/>
        </w:rPr>
        <w:instrText>ADDIN CSL_CITATION {"citationItems":[{"id":"ITEM-1","itemData":{"DOI":"10.1177/0363546515621554","ISSN":"15523365","abstract":"Background: Injury to the ipsilateral graft used for reconstruction of the anterior cruciate ligament (ACL) or a new injury to the contralateral ACL are disastrous outcomes after successful ACL reconstruction (ACLR), rehabilitation, and return to activity. Studies reporting ACL reinjury rates in younger active populations are emerging in the literature, but these data have not yet been comprehensively synthesized. Purpose: To provide a current review of the literature to evaluate age and activity level as the primary risk factors in reinjury after ACLR. Study Design: Systematic review and meta-analysis. Methods: A systematic review of the literature was conducted via searches in PubMed (1966 to July 2015) and EBSCO host (CINAHL, Medline, SPORTDiscus [1987 to July 2015]). After the search and consultation with experts and rating of study quality, 19 articles met inclusion for review and aggregation. Population demographic data and total reinjury (ipsilateral and contralateral) rate data were recorded from each individual study and combined using random-effects meta-analyses. Separate meta-analyses were conducted for the total population data as well as the following subsets: young age, return to sport, and young age + return to sport. Results: Overall, the total second ACL reinjury rate was 15%, with an ipsilateral reinjury rate of 7% and contralateral injury rate of 8%. The secondary ACL injury rate (ipsilateral + contralateral) for patients younger than 25 years was 21%. The secondary ACL injury rate for athletes who return to a sport was also 20%. Combining these risk factors, athletes younger than 25 years who return to sport have a secondary ACL injury rate of 23%. Conclusion: This systematic review and meta-analysis demonstrates that younger age and a return to high level of activity are salient factors associated with secondary ACL injury. These combined data indicate that nearly 1 in 4 young athletic patients who sustain an ACL injury and return to high-risk sport will go on to sustain another ACL injury at some point in their career, and they will likely sustain it early in the return-to-play period. The high rate of secondary injury in young athletes who return to sport after ACLR equates to a 30 to 40 times greater risk of an ACL injury compared with uninjured adolescents. These data indicate that activity modification, improved rehabilitation and return-to-play guidelines, and the use of integrative neuromuscular training may help athletes mo…","author":[{"dropping-particle":"","family":"Wiggins","given":"Amelia J.","non-dropping-particle":"","parse-names":false,"suffix":""},{"dropping-particle":"","family":"Grandhi","given":"Ravi K.","non-dropping-particle":"","parse-names":false,"suffix":""},{"dropping-particle":"","family":"Schneider","given":"Daniel K.","non-dropping-particle":"","parse-names":false,"suffix":""},{"dropping-particle":"","family":"Stanfield","given":"Denver","non-dropping-particle":"","parse-names":false,"suffix":""},{"dropping-particle":"","family":"Webster","given":"Kate E.","non-dropping-particle":"","parse-names":false,"suffix":""},{"dropping-particle":"","family":"Myer","given":"Gregory D.","non-dropping-particle":"","parse-names":false,"suffix":""}],"container-title":"American Journal of Sports Medicine","id":"ITEM-1","issue":"7","issued":{"date-parts":[["2016","7","1"]]},"page":"1861-1876","publisher":"SAGE Publications Inc.","title":"Risk of Secondary Injury in Younger Athletes after Anterior Cruciate Ligament Reconstruction","type":"article","volume":"44"},"uris":["http://www.mendeley.com/documents/?uuid=4c6f0a9c-8358-4b21-9541-793dadc9ce1b"]}],"mendeley":{"formattedCitation":"&lt;sup&gt;5&lt;/sup&gt;","plainTextFormattedCitation":"5","previouslyFormattedCitation":"&lt;sup&gt;5&lt;/sup&gt;"},"properties":{"noteIndex":0},"schema":"https://github.com/citation-style-language/schema/raw/master/csl-citation.json"}</w:instrText>
      </w:r>
      <w:r w:rsidRPr="00485D46">
        <w:rPr>
          <w:color w:val="000000" w:themeColor="text1"/>
        </w:rPr>
        <w:fldChar w:fldCharType="separate"/>
      </w:r>
      <w:r w:rsidR="00E36614" w:rsidRPr="00485D46">
        <w:rPr>
          <w:noProof/>
          <w:color w:val="000000" w:themeColor="text1"/>
          <w:vertAlign w:val="superscript"/>
        </w:rPr>
        <w:t>5</w:t>
      </w:r>
      <w:r w:rsidRPr="00485D46">
        <w:rPr>
          <w:color w:val="000000" w:themeColor="text1"/>
        </w:rPr>
        <w:fldChar w:fldCharType="end"/>
      </w:r>
      <w:r w:rsidRPr="00485D46">
        <w:rPr>
          <w:color w:val="000000" w:themeColor="text1"/>
        </w:rPr>
        <w:t xml:space="preserve"> </w:t>
      </w:r>
    </w:p>
    <w:p w14:paraId="396B7F64" w14:textId="77777777" w:rsidR="001955A3" w:rsidRPr="00485D46" w:rsidRDefault="001955A3" w:rsidP="005D0E2E">
      <w:pPr>
        <w:pStyle w:val="NormalWeb"/>
        <w:shd w:val="clear" w:color="auto" w:fill="FFFFFF"/>
        <w:spacing w:before="0" w:beforeAutospacing="0" w:after="0" w:afterAutospacing="0"/>
        <w:jc w:val="both"/>
        <w:textAlignment w:val="top"/>
        <w:rPr>
          <w:color w:val="000000" w:themeColor="text1"/>
        </w:rPr>
      </w:pPr>
    </w:p>
    <w:p w14:paraId="3EE7FECB" w14:textId="77777777" w:rsidR="001955A3" w:rsidRPr="00485D46" w:rsidRDefault="001955A3" w:rsidP="005D0E2E">
      <w:pPr>
        <w:pStyle w:val="NormalWeb"/>
        <w:shd w:val="clear" w:color="auto" w:fill="FFFFFF"/>
        <w:spacing w:before="0" w:beforeAutospacing="0" w:after="0" w:afterAutospacing="0"/>
        <w:jc w:val="both"/>
        <w:textAlignment w:val="top"/>
        <w:rPr>
          <w:color w:val="000000" w:themeColor="text1"/>
        </w:rPr>
      </w:pPr>
    </w:p>
    <w:p w14:paraId="503CFCC2" w14:textId="036CE126" w:rsidR="00454009" w:rsidRPr="00485D46" w:rsidRDefault="00817740" w:rsidP="005D0E2E">
      <w:pPr>
        <w:pStyle w:val="NormalWeb"/>
        <w:shd w:val="clear" w:color="auto" w:fill="FFFFFF"/>
        <w:spacing w:before="0" w:beforeAutospacing="0" w:after="0" w:afterAutospacing="0"/>
        <w:jc w:val="both"/>
        <w:textAlignment w:val="top"/>
        <w:rPr>
          <w:color w:val="000000" w:themeColor="text1"/>
          <w:shd w:val="clear" w:color="auto" w:fill="FFFFFF"/>
        </w:rPr>
      </w:pPr>
      <w:r w:rsidRPr="00485D46">
        <w:rPr>
          <w:color w:val="000000" w:themeColor="text1"/>
        </w:rPr>
        <w:t>A variety of</w:t>
      </w:r>
      <w:r w:rsidR="009479B7" w:rsidRPr="00485D46">
        <w:rPr>
          <w:color w:val="000000" w:themeColor="text1"/>
        </w:rPr>
        <w:t xml:space="preserve"> test batteries </w:t>
      </w:r>
      <w:r w:rsidR="00DE041B" w:rsidRPr="00485D46">
        <w:rPr>
          <w:color w:val="000000" w:themeColor="text1"/>
        </w:rPr>
        <w:t>have been</w:t>
      </w:r>
      <w:r w:rsidR="009479B7" w:rsidRPr="00485D46">
        <w:rPr>
          <w:color w:val="000000" w:themeColor="text1"/>
        </w:rPr>
        <w:t xml:space="preserve"> designed to inform </w:t>
      </w:r>
      <w:r w:rsidR="00DE041B" w:rsidRPr="00485D46">
        <w:rPr>
          <w:color w:val="000000" w:themeColor="text1"/>
        </w:rPr>
        <w:t>RTS</w:t>
      </w:r>
      <w:r w:rsidR="009479B7" w:rsidRPr="00485D46">
        <w:rPr>
          <w:color w:val="000000" w:themeColor="text1"/>
        </w:rPr>
        <w:t xml:space="preserve"> decisions.</w:t>
      </w:r>
      <w:r w:rsidR="009479B7" w:rsidRPr="00485D46">
        <w:rPr>
          <w:color w:val="000000" w:themeColor="text1"/>
        </w:rPr>
        <w:fldChar w:fldCharType="begin" w:fldLock="1"/>
      </w:r>
      <w:r w:rsidR="00C02A4E">
        <w:rPr>
          <w:color w:val="000000" w:themeColor="text1"/>
        </w:rPr>
        <w:instrText>ADDIN CSL_CITATION {"citationItems":[{"id":"ITEM-1","itemData":{"DOI":"10.11138/jts/2015.3.1.025","ISSN":"22824324","PMID":"26151036","abstract":"Allowing a patient to return to sport and unrestricted physical activity after ACL injury and reconstruction is one of the most challenging and difficult decisions an orthopaedic surgeon has to make. Indeed, many factors have to be taken into account before it can be considered safe for a patients to load a reconstructed knee. The current literature contains plenty of studies aimed at evaluating return to sport, and the factors that may affect or predict this outcome, e.g. intrinsic factors like genetics, biology, type of lesion, anatomical features, motivation and psychology, and extrinsic factors such as graft type, surgical technique, rehabilitation protocols, and biological support. It is possible that awareness of these issues could help the clinician to optimise outcomes, and possibly avoid failures too, although as yet no universal criteria for resuming sport have been produced.","author":[{"dropping-particle":"","family":"Zaffagnini","given":"Stefano","non-dropping-particle":"","parse-names":false,"suffix":""},{"dropping-particle":"","family":"Grassi","given":"Alberto","non-dropping-particle":"","parse-names":false,"suffix":""},{"dropping-particle":"","family":"Serra","given":"Margherita","non-dropping-particle":"","parse-names":false,"suffix":""},{"dropping-particle":"","family":"Marcacci","given":"Maurilio","non-dropping-particle":"","parse-names":false,"suffix":""}],"container-title":"Joints","id":"ITEM-1","issue":"1","issued":{"date-parts":[["2015","1","1"]]},"page":"25-30","publisher":"CIC Edizioni Internazionali s.r.l.","title":"Return to sport after ACL reconstruction: How, when and why? A narrative review of current evidence","type":"article-journal","volume":"3"},"uris":["http://www.mendeley.com/documents/?uuid=cd0844a7-7d2a-31ce-b119-9ec0c7bdac67"]},{"id":"ITEM-2","itemData":{"DOI":"10.1016/j.knee.2014.02.005","ISSN":"0968-0160","abstract":"Background: To investigate time to return to sport and rate of professional sport activity in a homogenous group of competitive soccer players 4 years after anterior cruciate ligament (ACL) reconstruction and rehabilitation. Methods: Twenty-one male professional soccer players (mean age 22.9±5.4 years) underwent non-anatomical double-bundle autologous hamstring ACL reconstruction and followed the same rehabilitative protocol. Clinical evaluation was performed preoperatively and at 3, 6 and 12-month follow-up. Data regarding return to train and official match, sport activity, complications and revision surgeries were collected at 4-year follow-up. Results: Laxity test (KT-2000) and total KOOS mean score resulted in a significant improvement from the preoperative status to the 12-month follow-up (p&lt;0.0001). The KOOS mean value showed a significant progressive improvement from the preoperative status to 6-month follow-up (p=0.0010) as well, while values collected at 6 and 12-month follow-up were comparable (p=0.2349). Returned to official matches 186±53 days after surgery. After 12 months, 95% came back to the same activity level performed before injury. Four years after ACL reconstruction, 15 patients (71%) were still playing competitive soccer. One patient (5%) underwent ACL failure and subsequent revision. Conclusions: The ACL reconstruction with the presented technique followed by patient-tailored rehabilitation, allowed 95% and 62% professional male soccer players to return to the same sport activity 1 year and 4 years after surgery respectively. However, 71% were still able to play competitive soccer at final follow-up. Clinical scores were restored after 6 months. Level Of Evidence: IV, case series.","author":[{"dropping-particle":"","family":"Zaffagnini","given":"S","non-dropping-particle":"","parse-names":false,"suffix":""},{"dropping-particle":"","family":"Grassi","given":"A","non-dropping-particle":"","parse-names":false,"suffix":""},{"dropping-particle":"","family":"Marcheggiani Muccioli","given":"G M","non-dropping-particle":"","parse-names":false,"suffix":""},{"dropping-particle":"","family":"Tsapralis","given":"K","non-dropping-particle":"","parse-names":false,"suffix":""},{"dropping-particle":"","family":"Ricci","given":"M","non-dropping-particle":"","parse-names":false,"suffix":""},{"dropping-particle":"","family":"Bragonzoni","given":"L","non-dropping-particle":"","parse-names":false,"suffix":""},{"dropping-particle":"","family":"Villa","given":"S","non-dropping-particle":"Della","parse-names":false,"suffix":""},{"dropping-particle":"","family":"Marcacci","given":"M","non-dropping-particle":"","parse-names":false,"suffix":""}],"container-title":"Knee","id":"ITEM-2","issue":"3","issued":{"date-parts":[["2014","6"]]},"note":"Accession Number: 103825233. Language: English. Entry Date: 20150206. Revision Date: 20170411. Publication Type: journal article; research. Journal Subset: Biomedical; Europe; Peer Reviewed; UK &amp;amp; Ireland. NLM UID: 9430798.","page":"731-735","publisher":"Elsevier B.V.","publisher-place":"II Clinica Ortopedica e Laboratorio di Biomeccanica ed Innovazione Tecnologica, Istituto Ortopedico Rizzoli, Bologna, Italy.","title":"Return to sport after anterior cruciate ligament reconstruction in professional soccer players.","type":"article-journal","volume":"21"},"uris":["http://www.mendeley.com/documents/?uuid=911bd70f-ba14-4f28-a433-1588cdd12096"]}],"mendeley":{"formattedCitation":"&lt;sup&gt;6,7&lt;/sup&gt;","plainTextFormattedCitation":"6,7","previouslyFormattedCitation":"&lt;sup&gt;6,7&lt;/sup&gt;"},"properties":{"noteIndex":0},"schema":"https://github.com/citation-style-language/schema/raw/master/csl-citation.json"}</w:instrText>
      </w:r>
      <w:r w:rsidR="009479B7" w:rsidRPr="00485D46">
        <w:rPr>
          <w:color w:val="000000" w:themeColor="text1"/>
        </w:rPr>
        <w:fldChar w:fldCharType="separate"/>
      </w:r>
      <w:r w:rsidR="00485D46" w:rsidRPr="00485D46">
        <w:rPr>
          <w:noProof/>
          <w:color w:val="000000" w:themeColor="text1"/>
          <w:vertAlign w:val="superscript"/>
        </w:rPr>
        <w:t>6,7</w:t>
      </w:r>
      <w:r w:rsidR="009479B7" w:rsidRPr="00485D46">
        <w:rPr>
          <w:color w:val="000000" w:themeColor="text1"/>
        </w:rPr>
        <w:fldChar w:fldCharType="end"/>
      </w:r>
      <w:r w:rsidR="00E36614" w:rsidRPr="00485D46">
        <w:rPr>
          <w:color w:val="000000" w:themeColor="text1"/>
        </w:rPr>
        <w:t xml:space="preserve"> </w:t>
      </w:r>
      <w:r w:rsidR="009479B7" w:rsidRPr="00485D46">
        <w:rPr>
          <w:color w:val="000000" w:themeColor="text1"/>
        </w:rPr>
        <w:t>Th</w:t>
      </w:r>
      <w:r w:rsidR="00DE041B" w:rsidRPr="00485D46">
        <w:rPr>
          <w:color w:val="000000" w:themeColor="text1"/>
        </w:rPr>
        <w:t>ese</w:t>
      </w:r>
      <w:r w:rsidR="009479B7" w:rsidRPr="00485D46">
        <w:rPr>
          <w:color w:val="000000" w:themeColor="text1"/>
        </w:rPr>
        <w:t xml:space="preserve"> include isokinetic strength assessment, hop tests</w:t>
      </w:r>
      <w:r w:rsidR="00DE041B" w:rsidRPr="00485D46">
        <w:rPr>
          <w:color w:val="000000" w:themeColor="text1"/>
        </w:rPr>
        <w:t>,</w:t>
      </w:r>
      <w:r w:rsidR="009479B7" w:rsidRPr="00485D46">
        <w:rPr>
          <w:color w:val="000000" w:themeColor="text1"/>
        </w:rPr>
        <w:t xml:space="preserve"> and other self-reported functional outcome measures.</w:t>
      </w:r>
      <w:r w:rsidR="009479B7" w:rsidRPr="00485D46">
        <w:rPr>
          <w:color w:val="000000" w:themeColor="text1"/>
        </w:rPr>
        <w:fldChar w:fldCharType="begin" w:fldLock="1"/>
      </w:r>
      <w:r w:rsidR="00C02A4E">
        <w:rPr>
          <w:color w:val="000000" w:themeColor="text1"/>
        </w:rPr>
        <w:instrText>ADDIN CSL_CITATION {"citationItems":[{"id":"ITEM-1","itemData":{"DOI":"https://dx.doi.org/10.1136/bjsports-2017-098602","ISBN":"1473-0480\r0306-3674","ISSN":"14730480","PMID":"29720478","abstract":"OBJECTIVE: To describe the criteria used to guide clinical decision-making regarding when a patient is ready to return to running (RTR) after ACL reconstruction., DESIGN: Scoping review., DATA SOURCES: The MEDLINE (PubMed), EMBASE, Web of Science, PEDro, SPORTDiscus and Cochrane Library electronic databases. We also screened the reference lists of included studies and conducted forward citation tracking., ELIGIBILITY CRITERIA FOR SELECTING STUDIES: Reported at least one criterion for permitting adult patients with primary ACL reconstruction to commence running postoperatively., RESULTS: 201 studies fulfilled the inclusion criteria and reported 205 time-based criteria for RTR. The median time from when RTR was permitted was 12 postoperative weeks (IQR=3.3, range 5-39 weeks). Fewer than one in five studies used additional clinical, strength or performance-based criteria for decision-making regarding RTR. Aside from time, the most frequently reported criteria for RTR were: full knee range of motion or &gt;95% of the non-injured knee plus no pain or pain &lt;2 on visual analogue scale; isometric extensor limb symmetry index (LSI)&gt;70% plus extensor and flexor LSI&gt;70%; and hop test LSI&gt;70%., CONCLUSIONS: Fewer than one in five studies reported clinical, strength or performance-based criteria for RTR even though best evidence recommends performance-based criteria combined with time-based criteria to commence running activities following ACL reconstruction. Copyright © Article author(s) (or their employer(s) unless otherwise stated in the text of the article) 2018. All rights reserved. No commercial use is permitted unless otherwise expressly granted.","author":[{"dropping-particle":"","family":"Rambaud","given":"Alexandre J.M. M","non-dropping-particle":"","parse-names":false,"suffix":""},{"dropping-particle":"","family":"Ardern","given":"Clare L.","non-dropping-particle":"","parse-names":false,"suffix":""},{"dropping-particle":"","family":"Thoreux","given":"Patricia","non-dropping-particle":"","parse-names":false,"suffix":""},{"dropping-particle":"","family":"Regnaux","given":"Jean-Philippe Philippe","non-dropping-particle":"","parse-names":false,"suffix":""},{"dropping-particle":"","family":"Edouard","given":"Pascal","non-dropping-particle":"","parse-names":false,"suffix":""}],"chapter-number":"Rambaud, A","container-title":"British journal of sports medicine","id":"ITEM-1","issue":"22","issued":{"date-parts":[["2018","11","1"]]},"page":"1437-1444","publisher":"BMJ Publishing Group","publisher-place":"England","title":"Criteria for return to running after anterior cruciate ligament reconstruction: a scoping review","type":"article-journal","volume":"52"},"uris":["http://www.mendeley.com/documents/?uuid=909429ba-3c9e-49aa-8d54-6f5b15988ef7"]},{"id":"ITEM-2","itemData":{"DOI":"10.1136/bjsports-2018-099982","ISSN":"14730480","abstract":"Objective To describe the criteria used to clear athletes to return to sport (RTS) following primary ACL reconstruction. Design Scoping review. Data sources MEDLINE, Embase, CINAHL and SPORTDiscus electronic databases were searched using keywords related to ACL and RTS. Eligibility criteria Prospective or retrospective studies reporting at least one RTS criterion for athletes who had primary ACL reconstruction with an autograft. Results In total, 209 studies fulfilled the inclusion criteria. RTS criteria were categorised into six domains: time, strength, hop testing, clinical examination, patient-report and performance-based criteria. From the 209 included studies, time was used in 178 studies (85%), and in 88 studies (42%) was the sole RTS criterion. Strength tests were reported in 86 studies (41%). Sixteen different hop tests were used in 31 studies (15%). Clinical examination was used in 54 studies (26%), patient report in 26 studies (12%) and performance-based criteria in 41 studies (20%). Summary Time and impairment-based measures dominated RTS criteria, despite sport being a complex physical and biopsychosocial activity with demands across all aspects of function. Time was included as a criterion in 85% of studies, and over 80% of studies allowed RTS before 9 months. Whether RTS tests are valid - do they predict successful RTS? - is largely unknown. © Author(s) (or their employer(s)) 2019. No commercial re-use. See rights and permissions. Published by BMJ.","author":[{"dropping-particle":"","family":"Burgi","given":"Ciara R.","non-dropping-particle":"","parse-names":false,"suffix":""},{"dropping-particle":"","family":"Peters","given":"Scott","non-dropping-particle":"","parse-names":false,"suffix":""},{"dropping-particle":"","family":"Ardern","given":"Clare L.","non-dropping-particle":"","parse-names":false,"suffix":""},{"dropping-particle":"","family":"Magill","given":"John R.","non-dropping-particle":"","parse-names":false,"suffix":""},{"dropping-particle":"","family":"Gomez","given":"Christina D.","non-dropping-particle":"","parse-names":false,"suffix":""},{"dropping-particle":"","family":"Sylvain","given":"Jonathan","non-dropping-particle":"","parse-names":false,"suffix":""},{"dropping-particle":"","family":"Reiman","given":"Michael P.","non-dropping-particle":"","parse-names":false,"suffix":""}],"container-title":"British journal of sports medicine","id":"ITEM-2","issue":"18","issued":{"date-parts":[["2019","9","1"]]},"note":"From Duplicate 2 (Which criteria are used to clear patients to return to sport after primary ACL reconstruction? A scoping review - Burgi, C R; Peters, S; Ardern, C L; Magill, J R; Gomez, C D; Sylvain, J; Reiman, M P)\n\nCited By :15\nExport Date: 5 June 2020","page":"1154-1161","publisher":"BMJ Publishing Group","title":"Which criteria are used to clear patients to return to sport after primary ACL reconstruction? A scoping review","type":"article-journal","volume":"53"},"uris":["http://www.mendeley.com/documents/?uuid=4fb325c1-caf4-458d-81a5-0f2f6b5f6bef"]}],"mendeley":{"formattedCitation":"&lt;sup&gt;8,9&lt;/sup&gt;","plainTextFormattedCitation":"8,9","previouslyFormattedCitation":"&lt;sup&gt;8,9&lt;/sup&gt;"},"properties":{"noteIndex":0},"schema":"https://github.com/citation-style-language/schema/raw/master/csl-citation.json"}</w:instrText>
      </w:r>
      <w:r w:rsidR="009479B7" w:rsidRPr="00485D46">
        <w:rPr>
          <w:color w:val="000000" w:themeColor="text1"/>
        </w:rPr>
        <w:fldChar w:fldCharType="separate"/>
      </w:r>
      <w:r w:rsidR="00485D46" w:rsidRPr="00485D46">
        <w:rPr>
          <w:noProof/>
          <w:color w:val="000000" w:themeColor="text1"/>
          <w:vertAlign w:val="superscript"/>
        </w:rPr>
        <w:t>8,9</w:t>
      </w:r>
      <w:r w:rsidR="009479B7" w:rsidRPr="00485D46">
        <w:rPr>
          <w:color w:val="000000" w:themeColor="text1"/>
        </w:rPr>
        <w:fldChar w:fldCharType="end"/>
      </w:r>
      <w:r w:rsidR="009479B7" w:rsidRPr="00485D46">
        <w:rPr>
          <w:color w:val="000000" w:themeColor="text1"/>
        </w:rPr>
        <w:t xml:space="preserve"> Evidence suggest</w:t>
      </w:r>
      <w:r w:rsidR="005E00DF" w:rsidRPr="00485D46">
        <w:rPr>
          <w:color w:val="000000" w:themeColor="text1"/>
        </w:rPr>
        <w:t>s</w:t>
      </w:r>
      <w:r w:rsidR="009479B7" w:rsidRPr="00485D46">
        <w:rPr>
          <w:color w:val="000000" w:themeColor="text1"/>
        </w:rPr>
        <w:t xml:space="preserve"> that passing </w:t>
      </w:r>
      <w:r w:rsidR="00DE041B" w:rsidRPr="00485D46">
        <w:rPr>
          <w:color w:val="000000" w:themeColor="text1"/>
        </w:rPr>
        <w:t>RTS</w:t>
      </w:r>
      <w:r w:rsidR="009479B7" w:rsidRPr="00485D46">
        <w:rPr>
          <w:color w:val="000000" w:themeColor="text1"/>
        </w:rPr>
        <w:t xml:space="preserve"> criteria </w:t>
      </w:r>
      <w:r w:rsidR="00A47A30" w:rsidRPr="00485D46">
        <w:rPr>
          <w:color w:val="000000" w:themeColor="text1"/>
        </w:rPr>
        <w:t xml:space="preserve">significantly </w:t>
      </w:r>
      <w:r w:rsidR="009479B7" w:rsidRPr="00485D46">
        <w:rPr>
          <w:color w:val="000000" w:themeColor="text1"/>
        </w:rPr>
        <w:t>reduces the risk of re-injury</w:t>
      </w:r>
      <w:r w:rsidR="00DE041B" w:rsidRPr="00485D46">
        <w:rPr>
          <w:color w:val="000000" w:themeColor="text1"/>
        </w:rPr>
        <w:t>;</w:t>
      </w:r>
      <w:r w:rsidR="009479B7" w:rsidRPr="00485D46">
        <w:rPr>
          <w:color w:val="000000" w:themeColor="text1"/>
        </w:rPr>
        <w:fldChar w:fldCharType="begin" w:fldLock="1"/>
      </w:r>
      <w:r w:rsidR="00C02A4E">
        <w:rPr>
          <w:color w:val="000000" w:themeColor="text1"/>
        </w:rPr>
        <w:instrText>ADDIN CSL_CITATION {"citationItems":[{"id":"ITEM-1","itemData":{"DOI":"https://dx.doi.org/10.1136/bjsports-2015-095908","ISBN":"1473-0480\r0306-3674","ISSN":"14730480","abstract":"BACKGROUND: The decision as to whether or not an athlete is ready to return to sport (RTS) after ACL reconstruction is difficult as the commonly used RTS criteria have not been validated., PURPOSE: To evaluate whether a set of objective discharge criteria, including muscle strength and functional tests, are associated with risk of ACL graft rupture after RTS., MATERIALS AND METHODS: 158 male professional athletes who underwent an ACL reconstruction and returned to their previous professional level of sport were included. Before players returned to sport they underwent a battery of discharge tests (isokinetic strength testing at 60degree, 180degree and 300degree/s, a running t test, single hop, triple hop and triple crossover hop tests). Athletes were monitored for ACL re-ruptures once they returned to sport (median follow-up 646 days, range 1-2060)., RESULTS: Of the 158 athletes, 26 (16.5%) sustained an ACL graft rupture an average of 105 days after RTS. Two factors were associated with increased risk of ACL graft rupture: (1) not meeting all six of the discharge criteria before returning to team training (HR 4.1, 95% CI 1.9 to 9.2, p&lt;=0.001); and (2) decreased hamstring to quadriceps ratio of the involved leg at 60degree/s (HR 10.6 per 10% difference, 95% CI 10.2 to 11, p=0.005)., CONCLUSIONS: Athletes who did not meet the discharge criteria before returning to professional sport had a four times greater risk of sustaining an ACL graft rupture compared with those who met all six RTS criteria. In addition, hamstring to quadriceps strength ratio deficits were associated with an increased risk of an ACL graft rupture. Copyright Published by the BMJ Publishing Group Limited. For permission to use (where not already granted under a licence) please go to http://www.bmj.com/company/products-services/rights-and-licensing/","author":[{"dropping-particle":"","family":"Kyritsis","given":"Polyvios","non-dropping-particle":"","parse-names":false,"suffix":""},{"dropping-particle":"","family":"Bahr","given":"Roald","non-dropping-particle":"","parse-names":false,"suffix":""},{"dropping-particle":"","family":"Landreau","given":"Philippe","non-dropping-particle":"","parse-names":false,"suffix":""},{"dropping-particle":"","family":"Miladi","given":"Riadh","non-dropping-particle":"","parse-names":false,"suffix":""},{"dropping-particle":"","family":"Witvrouw","given":"Erik","non-dropping-particle":"","parse-names":false,"suffix":""}],"chapter-number":"Kyritsis, ","container-title":"British journal of sports medicine","id":"ITEM-1","issue":"15","issued":{"date-parts":[["2016","8","1"]]},"page":"946-951","publisher":"BMJ Publishing Group","publisher-place":"England","title":"Likelihood of ACL graft rupture: not meeting six clinical discharge criteria before return to sport is associated with a four times greater risk of rupture","type":"article-journal","volume":"50"},"uris":["http://www.mendeley.com/documents/?uuid=bdc808f4-02b6-4be2-a8f8-bea1e0371f2b"]}],"mendeley":{"formattedCitation":"&lt;sup&gt;10&lt;/sup&gt;","plainTextFormattedCitation":"10","previouslyFormattedCitation":"&lt;sup&gt;10&lt;/sup&gt;"},"properties":{"noteIndex":0},"schema":"https://github.com/citation-style-language/schema/raw/master/csl-citation.json"}</w:instrText>
      </w:r>
      <w:r w:rsidR="009479B7" w:rsidRPr="00485D46">
        <w:rPr>
          <w:color w:val="000000" w:themeColor="text1"/>
        </w:rPr>
        <w:fldChar w:fldCharType="separate"/>
      </w:r>
      <w:r w:rsidR="00485D46" w:rsidRPr="00485D46">
        <w:rPr>
          <w:noProof/>
          <w:color w:val="000000" w:themeColor="text1"/>
          <w:vertAlign w:val="superscript"/>
        </w:rPr>
        <w:t>10</w:t>
      </w:r>
      <w:r w:rsidR="009479B7" w:rsidRPr="00485D46">
        <w:rPr>
          <w:color w:val="000000" w:themeColor="text1"/>
        </w:rPr>
        <w:fldChar w:fldCharType="end"/>
      </w:r>
      <w:r w:rsidR="009479B7" w:rsidRPr="00485D46">
        <w:rPr>
          <w:color w:val="000000" w:themeColor="text1"/>
        </w:rPr>
        <w:t xml:space="preserve"> </w:t>
      </w:r>
      <w:r w:rsidR="00DE041B" w:rsidRPr="00485D46">
        <w:rPr>
          <w:color w:val="000000" w:themeColor="text1"/>
        </w:rPr>
        <w:t>h</w:t>
      </w:r>
      <w:r w:rsidR="009479B7" w:rsidRPr="00485D46">
        <w:rPr>
          <w:color w:val="000000" w:themeColor="text1"/>
        </w:rPr>
        <w:t xml:space="preserve">owever, the validity of current </w:t>
      </w:r>
      <w:r w:rsidR="00DE041B" w:rsidRPr="00485D46">
        <w:rPr>
          <w:color w:val="000000" w:themeColor="text1"/>
        </w:rPr>
        <w:t>RTS</w:t>
      </w:r>
      <w:r w:rsidR="009479B7" w:rsidRPr="00485D46">
        <w:rPr>
          <w:color w:val="000000" w:themeColor="text1"/>
        </w:rPr>
        <w:t xml:space="preserve"> testing protocols</w:t>
      </w:r>
      <w:r w:rsidR="00A47A30" w:rsidRPr="00485D46">
        <w:rPr>
          <w:color w:val="000000" w:themeColor="text1"/>
        </w:rPr>
        <w:t xml:space="preserve"> have been increasingly questioned. </w:t>
      </w:r>
    </w:p>
    <w:p w14:paraId="166421E5" w14:textId="02F3D99E" w:rsidR="00454009" w:rsidRPr="00485D46" w:rsidRDefault="00454009" w:rsidP="005D0E2E">
      <w:pPr>
        <w:pStyle w:val="NormalWeb"/>
        <w:shd w:val="clear" w:color="auto" w:fill="FFFFFF"/>
        <w:spacing w:before="0" w:beforeAutospacing="0" w:after="0" w:afterAutospacing="0"/>
        <w:jc w:val="both"/>
        <w:textAlignment w:val="top"/>
        <w:rPr>
          <w:color w:val="000000" w:themeColor="text1"/>
          <w:shd w:val="clear" w:color="auto" w:fill="FFFFFF"/>
        </w:rPr>
      </w:pPr>
    </w:p>
    <w:p w14:paraId="4C21AB9D" w14:textId="1243BCF3" w:rsidR="009479B7" w:rsidRPr="00485D46" w:rsidRDefault="00861C89" w:rsidP="005D0E2E">
      <w:pPr>
        <w:jc w:val="both"/>
        <w:rPr>
          <w:color w:val="000000" w:themeColor="text1"/>
        </w:rPr>
      </w:pPr>
      <w:r w:rsidRPr="00485D46">
        <w:rPr>
          <w:color w:val="000000" w:themeColor="text1"/>
        </w:rPr>
        <w:t>Kinetic measurement</w:t>
      </w:r>
      <w:r w:rsidR="009479B7" w:rsidRPr="00485D46">
        <w:rPr>
          <w:color w:val="000000" w:themeColor="text1"/>
        </w:rPr>
        <w:t xml:space="preserve"> systems have emerged as measuring instruments to objectively assess different </w:t>
      </w:r>
      <w:r w:rsidR="00485D46">
        <w:rPr>
          <w:color w:val="000000" w:themeColor="text1"/>
        </w:rPr>
        <w:t>movement tasks such as jumping and landing</w:t>
      </w:r>
      <w:r w:rsidR="009479B7" w:rsidRPr="00485D46">
        <w:rPr>
          <w:color w:val="000000" w:themeColor="text1"/>
        </w:rPr>
        <w:t>,</w:t>
      </w:r>
      <w:r w:rsidR="009479B7" w:rsidRPr="00485D46">
        <w:rPr>
          <w:color w:val="000000" w:themeColor="text1"/>
        </w:rPr>
        <w:fldChar w:fldCharType="begin" w:fldLock="1"/>
      </w:r>
      <w:r w:rsidR="00C02A4E">
        <w:rPr>
          <w:color w:val="000000" w:themeColor="text1"/>
        </w:rPr>
        <w:instrText>ADDIN CSL_CITATION {"citationItems":[{"id":"ITEM-1","itemData":{"abstract":"Study Design: Randomized, controlled trial. Objective: To determine the roles that augmented feedback from instruction in jumping technique and sensory feedback from experience jumping play in assisting individuals to land softly from a jump. Background: Jumping and landing activities play a major role in many sports and daily activities. Feedback may assist individuals in decreasing landing forces and thus reduce the chances of sustaining an injury. Methods and Measures: Nonimpaired subjects (n = 91) were randomly assigned to either an augmented or sensory feedback condition. All subjects were asked to jump from a box 300 mm in height and land as softly as possible on a force plate. Pre-intervention ground reaction forces (GRF) were recorded. Subjects in the augmented feedback condition were then given instructions to focus on hip and knee joint motion as well as a forefoot landing technique for their next jump. Subjects in the sensory feedback condition were asked to use the experience of their first jump to land softly for their next jump. Post-intervention GRFs were recorded and all GRFs were expressed as a multiple of body weight. Results: Those in the augmented condition significantly reduced their GRF scores from pre-(mean = 4.53 + 1.51) to post-(mean = 3.57 5 1.10) jump, whereas those in the sensory condition did not (mean pre GRF = 4.51 5 1.77; mean post GRF = 4.33 + 1.54). Conclusions: High ground reaction forces may be a precipitating factor associated with an injury, where the site of tissue damage would benefit from decreased forces. These findings support the use of instructions related to joint motion to reduce landing forces. / Orthop Sports Phys fier 1999;29:352-356.","author":[{"dropping-particle":"","family":"Prapavessis","given":"Harry","non-dropping-particle":"","parse-names":false,"suffix":""},{"dropping-particle":"","family":"Mcnair","given":"Peter )","non-dropping-particle":"","parse-names":false,"suffix":""}],"container-title":"Journal of Orthopaedic &amp; Sports Physical Therapy","id":"ITEM-1","issue":"6","issued":{"date-parts":[["1999"]]},"number-of-pages":"352-356","title":"Effects of Instruction in Jumping Technique and Experience Jumping on Ground Reaction Forces","type":"report","volume":"999"},"uris":["http://www.mendeley.com/documents/?uuid=299f8520-3ea0-33c6-9652-5cebc3b342dd"]}],"mendeley":{"formattedCitation":"&lt;sup&gt;11&lt;/sup&gt;","plainTextFormattedCitation":"11","previouslyFormattedCitation":"&lt;sup&gt;11&lt;/sup&gt;"},"properties":{"noteIndex":0},"schema":"https://github.com/citation-style-language/schema/raw/master/csl-citation.json"}</w:instrText>
      </w:r>
      <w:r w:rsidR="009479B7" w:rsidRPr="00485D46">
        <w:rPr>
          <w:color w:val="000000" w:themeColor="text1"/>
        </w:rPr>
        <w:fldChar w:fldCharType="separate"/>
      </w:r>
      <w:r w:rsidR="00485D46" w:rsidRPr="00485D46">
        <w:rPr>
          <w:noProof/>
          <w:color w:val="000000" w:themeColor="text1"/>
          <w:vertAlign w:val="superscript"/>
        </w:rPr>
        <w:t>11</w:t>
      </w:r>
      <w:r w:rsidR="009479B7" w:rsidRPr="00485D46">
        <w:rPr>
          <w:color w:val="000000" w:themeColor="text1"/>
        </w:rPr>
        <w:fldChar w:fldCharType="end"/>
      </w:r>
      <w:r w:rsidR="009479B7" w:rsidRPr="00485D46">
        <w:rPr>
          <w:color w:val="000000" w:themeColor="text1"/>
        </w:rPr>
        <w:t xml:space="preserve"> postural control,</w:t>
      </w:r>
      <w:r w:rsidR="009479B7" w:rsidRPr="00485D46">
        <w:rPr>
          <w:color w:val="000000" w:themeColor="text1"/>
        </w:rPr>
        <w:fldChar w:fldCharType="begin" w:fldLock="1"/>
      </w:r>
      <w:r w:rsidR="00C02A4E">
        <w:rPr>
          <w:color w:val="000000" w:themeColor="text1"/>
        </w:rPr>
        <w:instrText>ADDIN CSL_CITATION {"citationItems":[{"id":"ITEM-1","itemData":{"DOI":"https://dx.doi.org/10.1589/jpts.30.896","ISBN":"0915-5287","ISSN":"0915-5287","abstract":"[Purpose] To evaluate the intra- and inter-session reliability of dynamic postural control in ACL reconstruction and matched control athletes. [Subjects and Methods] By using force plate, the postural controls of both groups (20 ACLR and 20 healthy matched controls) were assessed during the transitional task from DLS to SLS. The outcome variables included COP displacement and area and the mean velocity of COP. [Results] The balance measures had moderate to high correlation for area (ICC=0.64-0.73) and rang of fore-aft (Rfa) (ICC=0.66-0.80) in the ACLR group and Rfa (ICC=0.70-0.86) in the healthy group. High to very high reliability was seen for rang of sideway (Rsw) (ICC=0.76-0.96) and mean velocity (Mv) (ICC=0.81-0.98) in ACLR and area (ICC=0.70-0.98) and Rsw (ICC=0.84-0.98) and Mv (ICC=0.89-0.97) in the healthy group. [Conclusion] Force plate measures of postural control demonstrated moderate to very high reliability in athletes with and without ACLR during the transitional task. The results of the recent study showed that the assessment of transitional task postural control in athletes with ACLR may reliably be incorporated in the evaluation of the physical function.","author":[{"dropping-particle":"","family":"Ferdowsi","given":"Forough","non-dropping-particle":"","parse-names":false,"suffix":""},{"dropping-particle":"","family":"Shadmehr","given":"Azadeh","non-dropping-particle":"","parse-names":false,"suffix":""},{"dropping-particle":"","family":"Mir","given":"Seied Mohsen","non-dropping-particle":"","parse-names":false,"suffix":""},{"dropping-particle":"","family":"Olyaei","given":"Golamreza","non-dropping-particle":"","parse-names":false,"suffix":""},{"dropping-particle":"","family":"Talebian","given":"Saeed","non-dropping-particle":"","parse-names":false,"suffix":""},{"dropping-particle":"","family":"Keihani","given":"Sohrab","non-dropping-particle":"","parse-names":false,"suffix":""}],"chapter-number":"Ferdowsi, ","container-title":"Journal of physical therapy science","id":"ITEM-1","issue":"7","issued":{"date-parts":[["2018"]]},"page":"896-901","publisher":"Society of Physical Therapy Science","publisher-place":"Japan","title":"The reliability of postural control method in athletes with and without ACL reconstruction: a transitional task","type":"article-journal","volume":"30"},"uris":["http://www.mendeley.com/documents/?uuid=a6e46b84-1971-4885-ab10-1a4b9a0a8e98"]},{"id":"ITEM-2","itemData":{"DOI":"10.1016/j.neulet.2019.134666","ISSN":"18727972","abstract":"External focus (EF) of attention and continuous cognitive task (CCT) reduced postural sway in young and adult people owing to the automatic process of postural control, but their effects on postural control in athletes with musculoskeletal injury like anterior cruciate ligament (ACL) reconstruction are unclear. The present study aimed to reveal the effects of EF of attention and CCT on postural control in ACL reconstructed (ACL-R) athletes by comparing the pattern of the condition-group interaction between ACL-R and healthy athletes. The participants included healthy athletes (n = 20) and ACL-R athletes (n = 20). Postural control was examined during an operated leg stance on a wobble board positioned on a force plate. Three conditions were performed: single postural task (control condition), postural task with EF of attention (focusing on a planar leveling app in a smartphone placed on the wobble board) and postural task concurrent with CCT (three-digit sequence task). Measurement parameters, including sway area, amplitude, velocity, and mean power frequency (MPF), were the traditional center of pressure (COP) variables. A significant difference was found between ACL-R athletes and healthy subjects for the AP amplitude in the control condition as well as the ML amplitude in the CCT condition. Furthermore, in the ACL-R group, cognitive demand significantly decreased postural sway, while postural sway was not different between the conditions for the healthy group. Results also indicated that CCT significantly decreased sway velocity and increased mean power frequency in both groups, while EF of attention did not change any COP measures. Concurrent CCT decreases postural sway in ACL-R athletes, while it does not have significant effects on healthy subjects. EF of attention did not affect postural control in both study groups.","author":[{"dropping-particle":"","family":"Ahmadi","given":"Payam","non-dropping-particle":"","parse-names":false,"suffix":""},{"dropping-particle":"","family":"Salehi","given":"Reza","non-dropping-particle":"","parse-names":false,"suffix":""},{"dropping-particle":"","family":"Mehravar","given":"Mohammad","non-dropping-particle":"","parse-names":false,"suffix":""},{"dropping-particle":"","family":"Goharpey","given":"Shahin","non-dropping-particle":"","parse-names":false,"suffix":""},{"dropping-particle":"","family":"Negahban","given":"Hossein","non-dropping-particle":"","parse-names":false,"suffix":""}],"container-title":"Neuroscience Letters","id":"ITEM-2","issued":{"date-parts":[["2020","1","10"]]},"publisher":"Elsevier Ireland Ltd","title":"Comparing the effects of external focus of attention and continuous cognitive task on postural control in anterior cruciate ligament reconstructed athletes","type":"article-journal","volume":"715"},"uris":["http://www.mendeley.com/documents/?uuid=17c570d1-c7ca-3d30-af15-ec59b58a2b67"]}],"mendeley":{"formattedCitation":"&lt;sup&gt;12,13&lt;/sup&gt;","plainTextFormattedCitation":"12,13","previouslyFormattedCitation":"&lt;sup&gt;12,13&lt;/sup&gt;"},"properties":{"noteIndex":0},"schema":"https://github.com/citation-style-language/schema/raw/master/csl-citation.json"}</w:instrText>
      </w:r>
      <w:r w:rsidR="009479B7" w:rsidRPr="00485D46">
        <w:rPr>
          <w:color w:val="000000" w:themeColor="text1"/>
        </w:rPr>
        <w:fldChar w:fldCharType="separate"/>
      </w:r>
      <w:r w:rsidR="00485D46" w:rsidRPr="00485D46">
        <w:rPr>
          <w:noProof/>
          <w:color w:val="000000" w:themeColor="text1"/>
          <w:vertAlign w:val="superscript"/>
        </w:rPr>
        <w:t>12,13</w:t>
      </w:r>
      <w:r w:rsidR="009479B7" w:rsidRPr="00485D46">
        <w:rPr>
          <w:color w:val="000000" w:themeColor="text1"/>
        </w:rPr>
        <w:fldChar w:fldCharType="end"/>
      </w:r>
      <w:r w:rsidR="009479B7" w:rsidRPr="00485D46">
        <w:rPr>
          <w:color w:val="000000" w:themeColor="text1"/>
        </w:rPr>
        <w:t xml:space="preserve"> gai</w:t>
      </w:r>
      <w:r w:rsidR="006325B9" w:rsidRPr="00485D46">
        <w:rPr>
          <w:color w:val="000000" w:themeColor="text1"/>
        </w:rPr>
        <w:t>t,</w:t>
      </w:r>
      <w:r w:rsidR="009479B7" w:rsidRPr="00485D46">
        <w:rPr>
          <w:color w:val="000000" w:themeColor="text1"/>
        </w:rPr>
        <w:fldChar w:fldCharType="begin" w:fldLock="1"/>
      </w:r>
      <w:r w:rsidR="00C02A4E">
        <w:rPr>
          <w:color w:val="000000" w:themeColor="text1"/>
        </w:rPr>
        <w:instrText>ADDIN CSL_CITATION {"citationItems":[{"id":"ITEM-1","itemData":{"DOI":"https://dx.doi.org/10.1038/s41598-018-30459-w","ISBN":"2045-2322","ISSN":"20452322","abstract":"Individuals who received anterior cruciate ligament (ACL) reconstruction surgeries demonstrated lower extremity movement asymmetries. The purpose of this study was to determine if psychological impairment was a contributor to lower extremity movement asymmetries in walking for individuals who received ACL reconstruction surgeries. Three-dimensional videographic and force plate data were collected for 25 males after unilateral ACL reconstruction performing walking without (single-task condition) and with the concurrent cognitive task (dual-task condition). Both uninjured and injured legs had significantly smaller peak knee flexion angle and peak knee extension moment during loading response and mid-stance phases in dual-task condition compared to single task condition (P &lt;= 0.012). Walking condition and leg had significant interaction effects on peak hip adduction angle during mid-stance phase (P = 0.042) and peak hip abduction moment during loading response phase (P = 0.048). The inter-leg difference of peak hip adduction angle during mid-stance (P = 0.038) and terminal stance (P = 0.036) phases, and peak hip abduction moment during loading response phase (P = 0.024) were significantly decreased in dual-task condition compared to single-task condition. Psychological factors have significant effects on post-operative movements of both injured and uninjured knees of individuals who received ACL reconstruction surgery. Although physical factors may be primary contributors to the post-operative lower extremity movement asymmetries, psychological factors also contribute to the post-operative hip movement asymmetries.","author":[{"dropping-particle":"","family":"Shi","given":"Huijuan","non-dropping-particle":"","parse-names":false,"suffix":""},{"dropping-particle":"","family":"Huang","given":"Hongshi","non-dropping-particle":"","parse-names":false,"suffix":""},{"dropping-particle":"","family":"Yu","given":"Yuanyuan","non-dropping-particle":"","parse-names":false,"suffix":""},{"dropping-particle":"","family":"Liang","given":"Zixuan","non-dropping-particle":"","parse-names":false,"suffix":""},{"dropping-particle":"","family":"Zhang","given":"Si","non-dropping-particle":"","parse-names":false,"suffix":""},{"dropping-particle":"","family":"Yu","given":"Bing","non-dropping-particle":"","parse-names":false,"suffix":""},{"dropping-particle":"","family":"Liu","given":"Hui","non-dropping-particle":"","parse-names":false,"suffix":""},{"dropping-particle":"","family":"Ao","given":"Yingfang","non-dropping-particle":"","parse-names":false,"suffix":""}],"chapter-number":"Shi, Huiju","container-title":"Scientific reports","id":"ITEM-1","issue":"1","issued":{"date-parts":[["2018","12","1"]]},"page":"12057","publisher":"Nature Publishing Group","publisher-place":"England","title":"Effect of dual task on gait asymmetry in patients after anterior cruciate ligament reconstruction","type":"article-journal","volume":"8"},"uris":["http://www.mendeley.com/documents/?uuid=88567e79-bbae-491c-b610-8b513e21858c"]}],"mendeley":{"formattedCitation":"&lt;sup&gt;14&lt;/sup&gt;","plainTextFormattedCitation":"14","previouslyFormattedCitation":"&lt;sup&gt;14&lt;/sup&gt;"},"properties":{"noteIndex":0},"schema":"https://github.com/citation-style-language/schema/raw/master/csl-citation.json"}</w:instrText>
      </w:r>
      <w:r w:rsidR="009479B7" w:rsidRPr="00485D46">
        <w:rPr>
          <w:color w:val="000000" w:themeColor="text1"/>
        </w:rPr>
        <w:fldChar w:fldCharType="separate"/>
      </w:r>
      <w:r w:rsidR="00485D46" w:rsidRPr="00485D46">
        <w:rPr>
          <w:noProof/>
          <w:color w:val="000000" w:themeColor="text1"/>
          <w:vertAlign w:val="superscript"/>
        </w:rPr>
        <w:t>14</w:t>
      </w:r>
      <w:r w:rsidR="009479B7" w:rsidRPr="00485D46">
        <w:rPr>
          <w:color w:val="000000" w:themeColor="text1"/>
        </w:rPr>
        <w:fldChar w:fldCharType="end"/>
      </w:r>
      <w:r w:rsidR="009479B7" w:rsidRPr="00485D46">
        <w:rPr>
          <w:color w:val="000000" w:themeColor="text1"/>
        </w:rPr>
        <w:t xml:space="preserve"> and other </w:t>
      </w:r>
      <w:r w:rsidR="009479B7" w:rsidRPr="00485D46">
        <w:rPr>
          <w:color w:val="000000" w:themeColor="text1"/>
        </w:rPr>
        <w:lastRenderedPageBreak/>
        <w:t>biomechanical parameters.</w:t>
      </w:r>
      <w:r w:rsidR="009479B7" w:rsidRPr="00485D46">
        <w:rPr>
          <w:color w:val="000000" w:themeColor="text1"/>
        </w:rPr>
        <w:fldChar w:fldCharType="begin" w:fldLock="1"/>
      </w:r>
      <w:r w:rsidR="00C02A4E">
        <w:rPr>
          <w:color w:val="000000" w:themeColor="text1"/>
        </w:rPr>
        <w:instrText>ADDIN CSL_CITATION {"citationItems":[{"id":"ITEM-1","itemData":{"DOI":"10.1123/jsr.2018-0260","ISSN":"1056-6716","abstract":"  Context :  Landing kinetic outcomes are associated with injury risk and may be persistently altered after anterior cruciate ligament injury or reconstruction. However, it is challenging to assess kinetics clinically. The relationship between sound characteristics and kinetics during a limited number of functional tasks has been supported as a potential clinical alternative.  Objective :  To assess the relationship between kinetics and sound characteristics during a single-leg landing task.  Design :  Observational  Setting :  Laboratory.  Participants :  There was total of 26 healthy participants (15 males/11 females, age = 24.8 [3.6] y, height = 176.0 [9.1] cm, mass = 74.9 [14.4] kg, Tegner Activity Scale = 6.1 [1.1]).  Intervention :  Participants completed single-leg landings onto a force plate while audio characteristics were recorded.  Main Outcome Measures :  Peak vertical ground reaction force, linear loading rate, instantaneous loading rate, peak sound magnitude, sound frequency were measured. Means and SDs were calculated for each participant’s individual limbs. Spearman rho correlations were used to assess the relationships between audio characteristics and kinetic outcomes.  Results :  Peak sound magnitude was positively correlated with normalized peak vertical ground reaction force ( ρ = .486, P = .001); linear loading rate ( ρ = .491, P = .001); and instantaneous loading rate ( ρ = .298, P = .03). Sound frequency was negatively correlated with instantaneous loading rate ( ρ = −.444, P = .001).  Conclusions :  Peak sound magnitude may be more helpful in providing feedback about an individual’s normalized vertical ground reaction force and linear loading rate, and sound frequency may be more helpful in providing feedback about instantaneous loading rate. Further refinement in sound measurement techniques may be required before these findings can be applied in a clinical population. ","author":[{"dropping-particle":"","family":"Lisee","given":"Caroline","non-dropping-particle":"","parse-names":false,"suffix":""},{"dropping-particle":"","family":"Birchmeier","given":"Tom","non-dropping-particle":"","parse-names":false,"suffix":""},{"dropping-particle":"","family":"Yan","given":"Arthur","non-dropping-particle":"","parse-names":false,"suffix":""},{"dropping-particle":"","family":"Geers","given":"Brent","non-dropping-particle":"","parse-names":false,"suffix":""},{"dropping-particle":"","family":"O’Hagan","given":"Kaitlin","non-dropping-particle":"","parse-names":false,"suffix":""},{"dropping-particle":"","family":"Davis","given":"Callum","non-dropping-particle":"","parse-names":false,"suffix":""},{"dropping-particle":"","family":"Kuenze","given":"Christopher","non-dropping-particle":"","parse-names":false,"suffix":""}],"container-title":"Journal of Sport Rehabilitation","id":"ITEM-1","issued":{"date-parts":[["2019","4","29"]]},"page":"1-6","publisher":"Human Kinetics","title":"The Relationship Between Vertical Ground Reaction Force, Loading Rate, and Sound Characteristics During a Single-Leg Landing","type":"article-journal"},"uris":["http://www.mendeley.com/documents/?uuid=feae2691-629c-3d95-b4d7-7e9fcf87fcb6"]}],"mendeley":{"formattedCitation":"&lt;sup&gt;15&lt;/sup&gt;","plainTextFormattedCitation":"15","previouslyFormattedCitation":"&lt;sup&gt;15&lt;/sup&gt;"},"properties":{"noteIndex":0},"schema":"https://github.com/citation-style-language/schema/raw/master/csl-citation.json"}</w:instrText>
      </w:r>
      <w:r w:rsidR="009479B7" w:rsidRPr="00485D46">
        <w:rPr>
          <w:color w:val="000000" w:themeColor="text1"/>
        </w:rPr>
        <w:fldChar w:fldCharType="separate"/>
      </w:r>
      <w:r w:rsidR="00485D46" w:rsidRPr="00485D46">
        <w:rPr>
          <w:noProof/>
          <w:color w:val="000000" w:themeColor="text1"/>
          <w:vertAlign w:val="superscript"/>
        </w:rPr>
        <w:t>15</w:t>
      </w:r>
      <w:r w:rsidR="009479B7" w:rsidRPr="00485D46">
        <w:rPr>
          <w:color w:val="000000" w:themeColor="text1"/>
        </w:rPr>
        <w:fldChar w:fldCharType="end"/>
      </w:r>
      <w:r w:rsidR="009479B7" w:rsidRPr="00485D46">
        <w:rPr>
          <w:color w:val="000000" w:themeColor="text1"/>
        </w:rPr>
        <w:t xml:space="preserve"> </w:t>
      </w:r>
      <w:r w:rsidRPr="00485D46">
        <w:rPr>
          <w:color w:val="000000" w:themeColor="text1"/>
        </w:rPr>
        <w:t>These systems</w:t>
      </w:r>
      <w:r w:rsidR="009479B7" w:rsidRPr="00485D46">
        <w:rPr>
          <w:color w:val="000000" w:themeColor="text1"/>
        </w:rPr>
        <w:t xml:space="preserve"> use specific transducers to measure three-dimensional forces exerted upon them.</w:t>
      </w:r>
      <w:r w:rsidR="009479B7" w:rsidRPr="00485D46">
        <w:rPr>
          <w:color w:val="000000" w:themeColor="text1"/>
        </w:rPr>
        <w:fldChar w:fldCharType="begin" w:fldLock="1"/>
      </w:r>
      <w:r w:rsidR="00C02A4E">
        <w:rPr>
          <w:color w:val="000000" w:themeColor="text1"/>
        </w:rPr>
        <w:instrText>ADDIN CSL_CITATION {"citationItems":[{"id":"ITEM-1","itemData":{"DOI":"10.1519/SSC.0000000000000353","ISSN":"1524-1602","abstract":"Increased popularity in the utilization of force plates to measure countermovement jumps (CMJS) for performance monitoring warrants the need for strength and conditioning coaches and sport scientists to better understand its force-time characteristics and the calculation of its associated variables. This article aims to provide information on how to understand and analyze the force-time curve of CMJS in microsoft excel, thus providing practitioners an inexpensive and accessible alternative to readily available software on the market.","author":[{"dropping-particle":"","family":"Chavda","given":"Shyam","non-dropping-particle":"","parse-names":false,"suffix":""},{"dropping-particle":"","family":"Bromley","given":"Tom","non-dropping-particle":"","parse-names":false,"suffix":""},{"dropping-particle":"","family":"Jarvis","given":"Paul","non-dropping-particle":"","parse-names":false,"suffix":""},{"dropping-particle":"","family":"Williams","given":"Steve","non-dropping-particle":"","parse-names":false,"suffix":""},{"dropping-particle":"","family":"Bishop","given":"Chris","non-dropping-particle":"","parse-names":false,"suffix":""},{"dropping-particle":"","family":"Turner","given":"Anthony N.","non-dropping-particle":"","parse-names":false,"suffix":""},{"dropping-particle":"","family":"Lake","given":"Jason P.","non-dropping-particle":"","parse-names":false,"suffix":""},{"dropping-particle":"","family":"Mundy","given":"Peter D.","non-dropping-particle":"","parse-names":false,"suffix":""}],"container-title":"Strength and Conditioning Journal","id":"ITEM-1","issue":"2","issued":{"date-parts":[["2018","4"]]},"page":"67-77","publisher":"Lippincott Williams and Wilkins","title":"Force-Time Characteristics of the Countermovement Jump","type":"article-journal","volume":"40"},"uris":["http://www.mendeley.com/documents/?uuid=6785b185-f718-3c67-a738-469487ca3b13"]}],"mendeley":{"formattedCitation":"&lt;sup&gt;16&lt;/sup&gt;","plainTextFormattedCitation":"16","previouslyFormattedCitation":"&lt;sup&gt;16&lt;/sup&gt;"},"properties":{"noteIndex":0},"schema":"https://github.com/citation-style-language/schema/raw/master/csl-citation.json"}</w:instrText>
      </w:r>
      <w:r w:rsidR="009479B7" w:rsidRPr="00485D46">
        <w:rPr>
          <w:color w:val="000000" w:themeColor="text1"/>
        </w:rPr>
        <w:fldChar w:fldCharType="separate"/>
      </w:r>
      <w:r w:rsidR="00485D46" w:rsidRPr="00485D46">
        <w:rPr>
          <w:noProof/>
          <w:color w:val="000000" w:themeColor="text1"/>
          <w:vertAlign w:val="superscript"/>
        </w:rPr>
        <w:t>16</w:t>
      </w:r>
      <w:r w:rsidR="009479B7" w:rsidRPr="00485D46">
        <w:rPr>
          <w:color w:val="000000" w:themeColor="text1"/>
        </w:rPr>
        <w:fldChar w:fldCharType="end"/>
      </w:r>
      <w:r w:rsidR="009479B7" w:rsidRPr="00485D46">
        <w:rPr>
          <w:color w:val="000000" w:themeColor="text1"/>
        </w:rPr>
        <w:t xml:space="preserve"> They are utilized by clinicians and researchers to assess functional progression</w:t>
      </w:r>
      <w:r w:rsidR="00454009" w:rsidRPr="00485D46">
        <w:rPr>
          <w:color w:val="000000" w:themeColor="text1"/>
        </w:rPr>
        <w:t xml:space="preserve"> throughout rehabilitation</w:t>
      </w:r>
      <w:r w:rsidR="009479B7" w:rsidRPr="00485D46">
        <w:rPr>
          <w:color w:val="000000" w:themeColor="text1"/>
        </w:rPr>
        <w:t xml:space="preserve"> and</w:t>
      </w:r>
      <w:r w:rsidR="00454009" w:rsidRPr="00485D46">
        <w:rPr>
          <w:color w:val="000000" w:themeColor="text1"/>
        </w:rPr>
        <w:t xml:space="preserve"> may</w:t>
      </w:r>
      <w:r w:rsidR="009479B7" w:rsidRPr="00485D46">
        <w:rPr>
          <w:color w:val="000000" w:themeColor="text1"/>
        </w:rPr>
        <w:t xml:space="preserve"> predict the ability to </w:t>
      </w:r>
      <w:r w:rsidR="00454009" w:rsidRPr="00485D46">
        <w:rPr>
          <w:color w:val="000000" w:themeColor="text1"/>
        </w:rPr>
        <w:t>RTS</w:t>
      </w:r>
      <w:r w:rsidR="009479B7" w:rsidRPr="00485D46">
        <w:rPr>
          <w:color w:val="000000" w:themeColor="text1"/>
        </w:rPr>
        <w:t xml:space="preserve"> in </w:t>
      </w:r>
      <w:r w:rsidR="00454009" w:rsidRPr="00485D46">
        <w:rPr>
          <w:color w:val="000000" w:themeColor="text1"/>
        </w:rPr>
        <w:t xml:space="preserve">post-ACLR </w:t>
      </w:r>
      <w:r w:rsidR="009479B7" w:rsidRPr="00485D46">
        <w:rPr>
          <w:color w:val="000000" w:themeColor="text1"/>
        </w:rPr>
        <w:t>individuals.</w:t>
      </w:r>
      <w:r w:rsidR="009479B7" w:rsidRPr="00485D46">
        <w:rPr>
          <w:color w:val="000000" w:themeColor="text1"/>
        </w:rPr>
        <w:fldChar w:fldCharType="begin" w:fldLock="1"/>
      </w:r>
      <w:r w:rsidR="00C02A4E">
        <w:rPr>
          <w:color w:val="000000" w:themeColor="text1"/>
        </w:rPr>
        <w:instrText>ADDIN CSL_CITATION {"citationItems":[{"id":"ITEM-1","itemData":{"DOI":"10.1016/j.ptsp.2019.04.016","ISSN":"18731600","abstract":"Objective: Examine dynamic stability using Dynamic Postural Stability Index (DPSI)in athletes following anterior cruciate ligament reconstruction (ACLR)at time of release for return-to-sport (RTS), compared to matched controls. Design: Cross-sectional case-control study. Setting: Sports medicine clinic. Subjects: Fifteen ACLR athletes who had completed post-operative rehabilitation and were within 6 weeks following release to RTS were age-, gender-, and activity-matched to 15 healthy controls. Main outcome measures: Ground reaction forces (GRFs)were collected using a portable force plate during stabilization from three different single-leg landing tasks. A composite DPSI was calculated using GRFs. Results: Compared to matched controls, ACLR athletes within 6 weeks of release for RTS did not significantly differ in dynamic postural stability and there were no significant differences between the involved and uninvolved limbs in the ACLR group. Conclusion: Current findings indicate that dynamic postural stability, as measured using the DPSI, is not significantly different in ACLR subjects at time of release for RTS compared to matched controls. In addition, the DPSI was not significantly different between the involved and uninvolved limbs in the ACLR subjects. The results suggest that the post-ACLR rehabilitation program utilized may have adequately restored postural stability in this particular sample.","author":[{"dropping-particle":"","family":"Head","given":"Penny L.","non-dropping-particle":"","parse-names":false,"suffix":""},{"dropping-particle":"","family":"Kasser","given":"Richard","non-dropping-particle":"","parse-names":false,"suffix":""},{"dropping-particle":"","family":"Appling","given":"Susan","non-dropping-particle":"","parse-names":false,"suffix":""},{"dropping-particle":"","family":"Cappaert","given":"Thomas","non-dropping-particle":"","parse-names":false,"suffix":""},{"dropping-particle":"","family":"Singhal","given":"Kunal","non-dropping-particle":"","parse-names":false,"suffix":""},{"dropping-particle":"","family":"Zucker-Levin","given":"Audrey","non-dropping-particle":"","parse-names":false,"suffix":""}],"container-title":"Physical Therapy in Sport","id":"ITEM-1","issued":{"date-parts":[["2019","7","1"]]},"page":"80-86","publisher":"Churchill Livingstone","title":"Anterior cruciate ligament reconstruction and dynamic stability at time of release for return to sport","type":"article","volume":"38"},"uris":["http://www.mendeley.com/documents/?uuid=36ac2064-ac1f-4507-981d-f4d970c7e151"]}],"mendeley":{"formattedCitation":"&lt;sup&gt;17&lt;/sup&gt;","plainTextFormattedCitation":"17","previouslyFormattedCitation":"&lt;sup&gt;17&lt;/sup&gt;"},"properties":{"noteIndex":0},"schema":"https://github.com/citation-style-language/schema/raw/master/csl-citation.json"}</w:instrText>
      </w:r>
      <w:r w:rsidR="009479B7" w:rsidRPr="00485D46">
        <w:rPr>
          <w:color w:val="000000" w:themeColor="text1"/>
        </w:rPr>
        <w:fldChar w:fldCharType="separate"/>
      </w:r>
      <w:r w:rsidR="00485D46" w:rsidRPr="00485D46">
        <w:rPr>
          <w:noProof/>
          <w:color w:val="000000" w:themeColor="text1"/>
          <w:vertAlign w:val="superscript"/>
        </w:rPr>
        <w:t>17</w:t>
      </w:r>
      <w:r w:rsidR="009479B7" w:rsidRPr="00485D46">
        <w:rPr>
          <w:color w:val="000000" w:themeColor="text1"/>
        </w:rPr>
        <w:fldChar w:fldCharType="end"/>
      </w:r>
      <w:r w:rsidR="009479B7" w:rsidRPr="00485D46">
        <w:rPr>
          <w:color w:val="000000" w:themeColor="text1"/>
        </w:rPr>
        <w:t xml:space="preserve"> </w:t>
      </w:r>
      <w:r w:rsidR="00454009" w:rsidRPr="00485D46">
        <w:rPr>
          <w:color w:val="000000" w:themeColor="text1"/>
        </w:rPr>
        <w:t>Previous</w:t>
      </w:r>
      <w:r w:rsidR="009479B7" w:rsidRPr="00485D46">
        <w:rPr>
          <w:color w:val="000000" w:themeColor="text1"/>
        </w:rPr>
        <w:t xml:space="preserve"> studies have examined </w:t>
      </w:r>
      <w:r w:rsidR="00454009" w:rsidRPr="00485D46">
        <w:rPr>
          <w:color w:val="000000" w:themeColor="text1"/>
        </w:rPr>
        <w:t xml:space="preserve">various </w:t>
      </w:r>
      <w:r w:rsidRPr="00485D46">
        <w:rPr>
          <w:color w:val="000000" w:themeColor="text1"/>
        </w:rPr>
        <w:t>kinetic</w:t>
      </w:r>
      <w:r w:rsidR="009479B7" w:rsidRPr="00485D46">
        <w:rPr>
          <w:color w:val="000000" w:themeColor="text1"/>
        </w:rPr>
        <w:t xml:space="preserve"> parameters </w:t>
      </w:r>
      <w:r w:rsidR="00454009" w:rsidRPr="00485D46">
        <w:rPr>
          <w:color w:val="000000" w:themeColor="text1"/>
        </w:rPr>
        <w:t xml:space="preserve">in relation to the </w:t>
      </w:r>
      <w:r w:rsidR="009479B7" w:rsidRPr="00485D46">
        <w:rPr>
          <w:color w:val="000000" w:themeColor="text1"/>
        </w:rPr>
        <w:t>odds of secondary ACL injur</w:t>
      </w:r>
      <w:r w:rsidR="00454009" w:rsidRPr="00485D46">
        <w:rPr>
          <w:color w:val="000000" w:themeColor="text1"/>
        </w:rPr>
        <w:t>y</w:t>
      </w:r>
      <w:r w:rsidR="009479B7" w:rsidRPr="00485D46">
        <w:rPr>
          <w:color w:val="000000" w:themeColor="text1"/>
        </w:rPr>
        <w:t xml:space="preserve"> or </w:t>
      </w:r>
      <w:r w:rsidR="00454009" w:rsidRPr="00485D46">
        <w:rPr>
          <w:color w:val="000000" w:themeColor="text1"/>
        </w:rPr>
        <w:t>RTS;</w:t>
      </w:r>
      <w:r w:rsidR="009479B7" w:rsidRPr="00485D46">
        <w:rPr>
          <w:color w:val="000000" w:themeColor="text1"/>
        </w:rPr>
        <w:fldChar w:fldCharType="begin" w:fldLock="1"/>
      </w:r>
      <w:r w:rsidR="00C02A4E">
        <w:rPr>
          <w:color w:val="000000" w:themeColor="text1"/>
        </w:rPr>
        <w:instrText>ADDIN CSL_CITATION {"citationItems":[{"id":"ITEM-1","itemData":{"DOI":"10.1016/j.ptsp.2019.04.016","ISSN":"18731600","abstract":"Objective: Examine dynamic stability using Dynamic Postural Stability Index (DPSI)in athletes following anterior cruciate ligament reconstruction (ACLR)at time of release for return-to-sport (RTS), compared to matched controls. Design: Cross-sectional case-control study. Setting: Sports medicine clinic. Subjects: Fifteen ACLR athletes who had completed post-operative rehabilitation and were within 6 weeks following release to RTS were age-, gender-, and activity-matched to 15 healthy controls. Main outcome measures: Ground reaction forces (GRFs)were collected using a portable force plate during stabilization from three different single-leg landing tasks. A composite DPSI was calculated using GRFs. Results: Compared to matched controls, ACLR athletes within 6 weeks of release for RTS did not significantly differ in dynamic postural stability and there were no significant differences between the involved and uninvolved limbs in the ACLR group. Conclusion: Current findings indicate that dynamic postural stability, as measured using the DPSI, is not significantly different in ACLR subjects at time of release for RTS compared to matched controls. In addition, the DPSI was not significantly different between the involved and uninvolved limbs in the ACLR subjects. The results suggest that the post-ACLR rehabilitation program utilized may have adequately restored postural stability in this particular sample.","author":[{"dropping-particle":"","family":"Head","given":"Penny L.","non-dropping-particle":"","parse-names":false,"suffix":""},{"dropping-particle":"","family":"Kasser","given":"Richard","non-dropping-particle":"","parse-names":false,"suffix":""},{"dropping-particle":"","family":"Appling","given":"Susan","non-dropping-particle":"","parse-names":false,"suffix":""},{"dropping-particle":"","family":"Cappaert","given":"Thomas","non-dropping-particle":"","parse-names":false,"suffix":""},{"dropping-particle":"","family":"Singhal","given":"Kunal","non-dropping-particle":"","parse-names":false,"suffix":""},{"dropping-particle":"","family":"Zucker-Levin","given":"Audrey","non-dropping-particle":"","parse-names":false,"suffix":""}],"container-title":"Physical Therapy in Sport","id":"ITEM-1","issued":{"date-parts":[["2019","7","1"]]},"page":"80-86","publisher":"Churchill Livingstone","title":"Anterior cruciate ligament reconstruction and dynamic stability at time of release for return to sport","type":"article","volume":"38"},"uris":["http://www.mendeley.com/documents/?uuid=36ac2064-ac1f-4507-981d-f4d970c7e151"]}],"mendeley":{"formattedCitation":"&lt;sup&gt;17&lt;/sup&gt;","plainTextFormattedCitation":"17","previouslyFormattedCitation":"&lt;sup&gt;17&lt;/sup&gt;"},"properties":{"noteIndex":0},"schema":"https://github.com/citation-style-language/schema/raw/master/csl-citation.json"}</w:instrText>
      </w:r>
      <w:r w:rsidR="009479B7" w:rsidRPr="00485D46">
        <w:rPr>
          <w:color w:val="000000" w:themeColor="text1"/>
        </w:rPr>
        <w:fldChar w:fldCharType="separate"/>
      </w:r>
      <w:r w:rsidR="00485D46" w:rsidRPr="00485D46">
        <w:rPr>
          <w:noProof/>
          <w:color w:val="000000" w:themeColor="text1"/>
          <w:vertAlign w:val="superscript"/>
        </w:rPr>
        <w:t>17</w:t>
      </w:r>
      <w:r w:rsidR="009479B7" w:rsidRPr="00485D46">
        <w:rPr>
          <w:color w:val="000000" w:themeColor="text1"/>
        </w:rPr>
        <w:fldChar w:fldCharType="end"/>
      </w:r>
      <w:r w:rsidR="009479B7" w:rsidRPr="00485D46">
        <w:rPr>
          <w:color w:val="000000" w:themeColor="text1"/>
        </w:rPr>
        <w:t xml:space="preserve"> </w:t>
      </w:r>
      <w:r w:rsidR="00454009" w:rsidRPr="00485D46">
        <w:rPr>
          <w:color w:val="000000" w:themeColor="text1"/>
        </w:rPr>
        <w:t>h</w:t>
      </w:r>
      <w:r w:rsidR="009479B7" w:rsidRPr="00485D46">
        <w:rPr>
          <w:color w:val="000000" w:themeColor="text1"/>
        </w:rPr>
        <w:t>owever</w:t>
      </w:r>
      <w:r w:rsidR="00454009" w:rsidRPr="00485D46">
        <w:rPr>
          <w:color w:val="000000" w:themeColor="text1"/>
        </w:rPr>
        <w:t>,</w:t>
      </w:r>
      <w:r w:rsidR="009479B7" w:rsidRPr="00485D46">
        <w:rPr>
          <w:color w:val="000000" w:themeColor="text1"/>
        </w:rPr>
        <w:t xml:space="preserve"> there is a lack of consistency in the literature about what </w:t>
      </w:r>
      <w:r w:rsidR="00454009" w:rsidRPr="00485D46">
        <w:rPr>
          <w:color w:val="000000" w:themeColor="text1"/>
        </w:rPr>
        <w:t xml:space="preserve">parameters </w:t>
      </w:r>
      <w:r w:rsidR="009479B7" w:rsidRPr="00485D46">
        <w:rPr>
          <w:color w:val="000000" w:themeColor="text1"/>
        </w:rPr>
        <w:t xml:space="preserve">to </w:t>
      </w:r>
      <w:r w:rsidR="00454009" w:rsidRPr="00485D46">
        <w:rPr>
          <w:color w:val="000000" w:themeColor="text1"/>
        </w:rPr>
        <w:t>assess</w:t>
      </w:r>
      <w:r w:rsidR="009479B7" w:rsidRPr="00485D46">
        <w:rPr>
          <w:color w:val="000000" w:themeColor="text1"/>
        </w:rPr>
        <w:t xml:space="preserve"> </w:t>
      </w:r>
      <w:r w:rsidRPr="00485D46">
        <w:rPr>
          <w:color w:val="000000" w:themeColor="text1"/>
        </w:rPr>
        <w:t xml:space="preserve">and what assessment protocol to follow </w:t>
      </w:r>
      <w:r w:rsidR="009479B7" w:rsidRPr="00485D46">
        <w:rPr>
          <w:color w:val="000000" w:themeColor="text1"/>
        </w:rPr>
        <w:t xml:space="preserve">in a population of individuals following primary ACLR.  </w:t>
      </w:r>
    </w:p>
    <w:p w14:paraId="6BCA31AD" w14:textId="1453860D" w:rsidR="008D1386" w:rsidRPr="00485D46" w:rsidRDefault="008D1386" w:rsidP="005D0E2E">
      <w:pPr>
        <w:pStyle w:val="NoSpacing"/>
        <w:jc w:val="both"/>
        <w:rPr>
          <w:rFonts w:ascii="Times New Roman" w:hAnsi="Times New Roman" w:cs="Times New Roman"/>
          <w:b/>
          <w:color w:val="000000" w:themeColor="text1"/>
          <w:sz w:val="24"/>
          <w:szCs w:val="24"/>
        </w:rPr>
      </w:pPr>
    </w:p>
    <w:p w14:paraId="357BBAFA" w14:textId="4F525230" w:rsidR="009479B7" w:rsidRPr="00485D46" w:rsidRDefault="00861C89" w:rsidP="005D0E2E">
      <w:pPr>
        <w:jc w:val="both"/>
        <w:rPr>
          <w:color w:val="000000" w:themeColor="text1"/>
          <w:shd w:val="clear" w:color="auto" w:fill="FFFFFF"/>
        </w:rPr>
      </w:pPr>
      <w:r w:rsidRPr="00485D46">
        <w:rPr>
          <w:color w:val="000000" w:themeColor="text1"/>
        </w:rPr>
        <w:t xml:space="preserve">Thus, the primary objectives of this scoping review are to (1) </w:t>
      </w:r>
      <w:r w:rsidRPr="00485D46">
        <w:rPr>
          <w:color w:val="0E101A"/>
        </w:rPr>
        <w:t xml:space="preserve">describe the approaches for kinetic measurements in individuals following primary ACLR and (2) </w:t>
      </w:r>
      <w:bookmarkStart w:id="1" w:name="_Hlk67510954"/>
      <w:r w:rsidRPr="00485D46">
        <w:rPr>
          <w:color w:val="000000" w:themeColor="text1"/>
        </w:rPr>
        <w:t>propose methodological reporting considerations for future studies</w:t>
      </w:r>
      <w:r w:rsidRPr="00485D46">
        <w:rPr>
          <w:color w:val="0E101A"/>
        </w:rPr>
        <w:t>.</w:t>
      </w:r>
      <w:bookmarkEnd w:id="1"/>
      <w:r w:rsidRPr="00485D46">
        <w:rPr>
          <w:color w:val="000000" w:themeColor="text1"/>
        </w:rPr>
        <w:t xml:space="preserve"> The secondary objective is to examine how commonly kinetic measurement system findings were related to PROMs. This review will provide clinicians and researchers with further information on the use of kinetic measurement systems in the ACLR population and may also inform future studies which, ultimately, may assist in advancing this field of study.</w:t>
      </w:r>
    </w:p>
    <w:p w14:paraId="634A53BF" w14:textId="77777777" w:rsidR="009479B7" w:rsidRPr="00485D46" w:rsidRDefault="009479B7" w:rsidP="005D0E2E">
      <w:pPr>
        <w:pStyle w:val="NoSpacing"/>
        <w:jc w:val="both"/>
        <w:rPr>
          <w:rFonts w:ascii="Times New Roman" w:hAnsi="Times New Roman" w:cs="Times New Roman"/>
          <w:b/>
          <w:color w:val="000000" w:themeColor="text1"/>
          <w:sz w:val="24"/>
          <w:szCs w:val="24"/>
        </w:rPr>
      </w:pPr>
    </w:p>
    <w:p w14:paraId="75594C68" w14:textId="77777777" w:rsidR="00861C89" w:rsidRPr="00485D46" w:rsidRDefault="00861C89" w:rsidP="005D0E2E">
      <w:pPr>
        <w:pStyle w:val="NoSpacing"/>
        <w:jc w:val="both"/>
        <w:rPr>
          <w:rFonts w:ascii="Times New Roman" w:hAnsi="Times New Roman" w:cs="Times New Roman"/>
          <w:b/>
          <w:color w:val="000000" w:themeColor="text1"/>
          <w:sz w:val="24"/>
          <w:szCs w:val="24"/>
        </w:rPr>
      </w:pPr>
    </w:p>
    <w:p w14:paraId="0BA81055" w14:textId="0C1C8417" w:rsidR="00B80253" w:rsidRPr="00485D46" w:rsidRDefault="00B80253" w:rsidP="005D0E2E">
      <w:pPr>
        <w:pStyle w:val="NoSpacing"/>
        <w:jc w:val="both"/>
        <w:rPr>
          <w:rFonts w:ascii="Times New Roman" w:hAnsi="Times New Roman" w:cs="Times New Roman"/>
          <w:b/>
          <w:color w:val="000000" w:themeColor="text1"/>
          <w:sz w:val="24"/>
          <w:szCs w:val="24"/>
        </w:rPr>
      </w:pPr>
      <w:r w:rsidRPr="00485D46">
        <w:rPr>
          <w:rFonts w:ascii="Times New Roman" w:hAnsi="Times New Roman" w:cs="Times New Roman"/>
          <w:b/>
          <w:color w:val="000000" w:themeColor="text1"/>
          <w:sz w:val="24"/>
          <w:szCs w:val="24"/>
        </w:rPr>
        <w:t>M</w:t>
      </w:r>
      <w:r w:rsidR="005A3833" w:rsidRPr="00485D46">
        <w:rPr>
          <w:rFonts w:ascii="Times New Roman" w:hAnsi="Times New Roman" w:cs="Times New Roman"/>
          <w:b/>
          <w:color w:val="000000" w:themeColor="text1"/>
          <w:sz w:val="24"/>
          <w:szCs w:val="24"/>
        </w:rPr>
        <w:t>ETHODS</w:t>
      </w:r>
    </w:p>
    <w:p w14:paraId="08001FD1" w14:textId="77777777" w:rsidR="00B31EE9" w:rsidRPr="00485D46" w:rsidRDefault="00B31EE9" w:rsidP="005D0E2E">
      <w:pPr>
        <w:pStyle w:val="NoSpacing"/>
        <w:jc w:val="both"/>
        <w:rPr>
          <w:rFonts w:ascii="Times New Roman" w:hAnsi="Times New Roman" w:cs="Times New Roman"/>
          <w:b/>
          <w:color w:val="000000" w:themeColor="text1"/>
          <w:sz w:val="24"/>
          <w:szCs w:val="24"/>
        </w:rPr>
      </w:pPr>
    </w:p>
    <w:p w14:paraId="07D1561E" w14:textId="57C922BC" w:rsidR="00B31EE9" w:rsidRPr="00485D46" w:rsidRDefault="00B31EE9" w:rsidP="005D0E2E">
      <w:pPr>
        <w:pStyle w:val="NoSpacing"/>
        <w:jc w:val="both"/>
        <w:rPr>
          <w:rFonts w:ascii="Times New Roman" w:hAnsi="Times New Roman" w:cs="Times New Roman"/>
          <w:b/>
          <w:color w:val="000000" w:themeColor="text1"/>
          <w:sz w:val="24"/>
          <w:szCs w:val="24"/>
        </w:rPr>
      </w:pPr>
      <w:r w:rsidRPr="00485D46">
        <w:rPr>
          <w:rFonts w:ascii="Times New Roman" w:hAnsi="Times New Roman" w:cs="Times New Roman"/>
          <w:b/>
          <w:color w:val="000000" w:themeColor="text1"/>
          <w:sz w:val="24"/>
          <w:szCs w:val="24"/>
        </w:rPr>
        <w:t>Protocol design</w:t>
      </w:r>
    </w:p>
    <w:p w14:paraId="5AD68201" w14:textId="77777777" w:rsidR="005A3833" w:rsidRPr="00485D46" w:rsidRDefault="005A3833" w:rsidP="005D0E2E">
      <w:pPr>
        <w:pStyle w:val="NoSpacing"/>
        <w:jc w:val="both"/>
        <w:rPr>
          <w:rFonts w:ascii="Times New Roman" w:hAnsi="Times New Roman" w:cs="Times New Roman"/>
          <w:bCs/>
          <w:color w:val="000000" w:themeColor="text1"/>
          <w:sz w:val="24"/>
          <w:szCs w:val="24"/>
          <w:lang w:val="en-GB"/>
        </w:rPr>
      </w:pPr>
    </w:p>
    <w:p w14:paraId="7E7A883B" w14:textId="79716010" w:rsidR="00AE20A1" w:rsidRPr="00485D46" w:rsidRDefault="00AE20A1" w:rsidP="005D0E2E">
      <w:pPr>
        <w:pStyle w:val="NoSpacing"/>
        <w:jc w:val="both"/>
        <w:rPr>
          <w:rFonts w:ascii="Times New Roman" w:hAnsi="Times New Roman" w:cs="Times New Roman"/>
          <w:bCs/>
          <w:color w:val="000000" w:themeColor="text1"/>
          <w:sz w:val="24"/>
          <w:szCs w:val="24"/>
          <w:lang w:val="en-GB"/>
        </w:rPr>
      </w:pPr>
      <w:r w:rsidRPr="00485D46">
        <w:rPr>
          <w:rFonts w:ascii="Times New Roman" w:hAnsi="Times New Roman" w:cs="Times New Roman"/>
          <w:bCs/>
          <w:color w:val="000000" w:themeColor="text1"/>
          <w:sz w:val="24"/>
          <w:szCs w:val="24"/>
          <w:lang w:val="en-GB"/>
        </w:rPr>
        <w:t>This scoping review will be conducted according to the six stages methodology framework proposed by</w:t>
      </w:r>
      <w:r w:rsidR="0045154B" w:rsidRPr="00485D46">
        <w:rPr>
          <w:rFonts w:ascii="Times New Roman" w:hAnsi="Times New Roman" w:cs="Times New Roman"/>
          <w:bCs/>
          <w:color w:val="000000" w:themeColor="text1"/>
          <w:sz w:val="24"/>
          <w:szCs w:val="24"/>
          <w:lang w:val="en-GB"/>
        </w:rPr>
        <w:t xml:space="preserve"> Ark</w:t>
      </w:r>
      <w:r w:rsidR="0012496C" w:rsidRPr="00485D46">
        <w:rPr>
          <w:rFonts w:ascii="Times New Roman" w:hAnsi="Times New Roman" w:cs="Times New Roman"/>
          <w:bCs/>
          <w:color w:val="000000" w:themeColor="text1"/>
          <w:sz w:val="24"/>
          <w:szCs w:val="24"/>
          <w:lang w:val="en-GB"/>
        </w:rPr>
        <w:t>se</w:t>
      </w:r>
      <w:r w:rsidR="0045154B" w:rsidRPr="00485D46">
        <w:rPr>
          <w:rFonts w:ascii="Times New Roman" w:hAnsi="Times New Roman" w:cs="Times New Roman"/>
          <w:bCs/>
          <w:color w:val="000000" w:themeColor="text1"/>
          <w:sz w:val="24"/>
          <w:szCs w:val="24"/>
          <w:lang w:val="en-GB"/>
        </w:rPr>
        <w:t>y and O'Malley (2005</w:t>
      </w:r>
      <w:r w:rsidR="00D532ED" w:rsidRPr="00485D46">
        <w:rPr>
          <w:rFonts w:ascii="Times New Roman" w:hAnsi="Times New Roman" w:cs="Times New Roman"/>
          <w:bCs/>
          <w:color w:val="000000" w:themeColor="text1"/>
          <w:sz w:val="24"/>
          <w:szCs w:val="24"/>
          <w:lang w:val="en-GB"/>
        </w:rPr>
        <w:t>, Table 1</w:t>
      </w:r>
      <w:r w:rsidR="0045154B" w:rsidRPr="00485D46">
        <w:rPr>
          <w:rFonts w:ascii="Times New Roman" w:hAnsi="Times New Roman" w:cs="Times New Roman"/>
          <w:bCs/>
          <w:color w:val="000000" w:themeColor="text1"/>
          <w:sz w:val="24"/>
          <w:szCs w:val="24"/>
          <w:lang w:val="en-GB"/>
        </w:rPr>
        <w:t>)</w:t>
      </w:r>
      <w:r w:rsidRPr="00485D46">
        <w:rPr>
          <w:rFonts w:ascii="Times New Roman" w:hAnsi="Times New Roman" w:cs="Times New Roman"/>
          <w:bCs/>
          <w:color w:val="000000" w:themeColor="text1"/>
          <w:sz w:val="24"/>
          <w:szCs w:val="24"/>
          <w:lang w:val="en-GB"/>
        </w:rPr>
        <w:fldChar w:fldCharType="begin" w:fldLock="1"/>
      </w:r>
      <w:r w:rsidR="00C02A4E">
        <w:rPr>
          <w:rFonts w:ascii="Times New Roman" w:hAnsi="Times New Roman" w:cs="Times New Roman"/>
          <w:bCs/>
          <w:color w:val="000000" w:themeColor="text1"/>
          <w:sz w:val="24"/>
          <w:szCs w:val="24"/>
          <w:lang w:val="en-GB"/>
        </w:rPr>
        <w:instrText>ADDIN CSL_CITATION {"citationItems":[{"id":"ITEM-1","itemData":{"DOI":"10.1080/1364557032000119616","ISSN":"1364-5579","abstract":"This paper focuses on scoping studies, an approach to reviewing the literature which to date has received little attention in the research methods literature. We distinguish between different types of scoping studies and indicate where these stand in relation to full systematic reviews. We outline a framework for conducting a scoping study based on our recent experiences of reviewing the literature on services for carers for people with mental health problems. Where appropriate, our approach to scoping the field is contrasted with the procedures followed in systematic reviews. We emphasize how including a consultation exercise in this sort of study may enhance the results, making them more useful to policy makers, practitioners and service users. Finally, we consider the advantages and limitations of the approach and suggest that a wider debate is called for about the role of the scoping study in relation to other types of literature reviews.","author":[{"dropping-particle":"","family":"Arksey","given":"Hilary","non-dropping-particle":"","parse-names":false,"suffix":""},{"dropping-particle":"","family":"O'Malley","given":"Lisa","non-dropping-particle":"","parse-names":false,"suffix":""}],"container-title":"International Journal of Social Research Methodology","id":"ITEM-1","issue":"1","issued":{"date-parts":[["2005","2"]]},"page":"19-32","publisher":" Taylor and Francis Group Ltd ","title":"Scoping studies: towards a methodological framework","type":"article-journal","volume":"8"},"uris":["http://www.mendeley.com/documents/?uuid=355dc0ff-31a2-38bf-a007-521bd70a93ef"]}],"mendeley":{"formattedCitation":"&lt;sup&gt;18&lt;/sup&gt;","plainTextFormattedCitation":"18","previouslyFormattedCitation":"&lt;sup&gt;18&lt;/sup&gt;"},"properties":{"noteIndex":0},"schema":"https://github.com/citation-style-language/schema/raw/master/csl-citation.json"}</w:instrText>
      </w:r>
      <w:r w:rsidRPr="00485D46">
        <w:rPr>
          <w:rFonts w:ascii="Times New Roman" w:hAnsi="Times New Roman" w:cs="Times New Roman"/>
          <w:bCs/>
          <w:color w:val="000000" w:themeColor="text1"/>
          <w:sz w:val="24"/>
          <w:szCs w:val="24"/>
          <w:lang w:val="en-GB"/>
        </w:rPr>
        <w:fldChar w:fldCharType="separate"/>
      </w:r>
      <w:r w:rsidR="00485D46" w:rsidRPr="00485D46">
        <w:rPr>
          <w:rFonts w:ascii="Times New Roman" w:hAnsi="Times New Roman" w:cs="Times New Roman"/>
          <w:bCs/>
          <w:noProof/>
          <w:color w:val="000000" w:themeColor="text1"/>
          <w:sz w:val="24"/>
          <w:szCs w:val="24"/>
          <w:vertAlign w:val="superscript"/>
          <w:lang w:val="en-GB"/>
        </w:rPr>
        <w:t>18</w:t>
      </w:r>
      <w:r w:rsidRPr="00485D46">
        <w:rPr>
          <w:rFonts w:ascii="Times New Roman" w:hAnsi="Times New Roman" w:cs="Times New Roman"/>
          <w:bCs/>
          <w:color w:val="000000" w:themeColor="text1"/>
          <w:sz w:val="24"/>
          <w:szCs w:val="24"/>
          <w:lang w:val="en-GB"/>
        </w:rPr>
        <w:fldChar w:fldCharType="end"/>
      </w:r>
      <w:r w:rsidRPr="00485D46">
        <w:rPr>
          <w:rFonts w:ascii="Times New Roman" w:hAnsi="Times New Roman" w:cs="Times New Roman"/>
          <w:bCs/>
          <w:color w:val="000000" w:themeColor="text1"/>
          <w:sz w:val="24"/>
          <w:szCs w:val="24"/>
          <w:lang w:val="en-GB"/>
        </w:rPr>
        <w:t xml:space="preserve"> </w:t>
      </w:r>
      <w:r w:rsidR="0045154B" w:rsidRPr="00485D46">
        <w:rPr>
          <w:rFonts w:ascii="Times New Roman" w:hAnsi="Times New Roman" w:cs="Times New Roman"/>
          <w:bCs/>
          <w:color w:val="000000" w:themeColor="text1"/>
          <w:sz w:val="24"/>
          <w:szCs w:val="24"/>
          <w:lang w:val="en-GB"/>
        </w:rPr>
        <w:t xml:space="preserve">and </w:t>
      </w:r>
      <w:r w:rsidRPr="00485D46">
        <w:rPr>
          <w:rFonts w:ascii="Times New Roman" w:hAnsi="Times New Roman" w:cs="Times New Roman"/>
          <w:bCs/>
          <w:color w:val="000000" w:themeColor="text1"/>
          <w:sz w:val="24"/>
          <w:szCs w:val="24"/>
          <w:lang w:val="en-GB"/>
        </w:rPr>
        <w:t xml:space="preserve">revised by </w:t>
      </w:r>
      <w:proofErr w:type="spellStart"/>
      <w:r w:rsidR="0045154B" w:rsidRPr="00485D46">
        <w:rPr>
          <w:rFonts w:ascii="Times New Roman" w:hAnsi="Times New Roman" w:cs="Times New Roman"/>
          <w:bCs/>
          <w:color w:val="000000" w:themeColor="text1"/>
          <w:sz w:val="24"/>
          <w:szCs w:val="24"/>
          <w:lang w:val="en-GB"/>
        </w:rPr>
        <w:t>Levac</w:t>
      </w:r>
      <w:proofErr w:type="spellEnd"/>
      <w:r w:rsidR="0045154B" w:rsidRPr="00485D46">
        <w:rPr>
          <w:rFonts w:ascii="Times New Roman" w:hAnsi="Times New Roman" w:cs="Times New Roman"/>
          <w:bCs/>
          <w:color w:val="000000" w:themeColor="text1"/>
          <w:sz w:val="24"/>
          <w:szCs w:val="24"/>
          <w:lang w:val="en-GB"/>
        </w:rPr>
        <w:t xml:space="preserve"> et al</w:t>
      </w:r>
      <w:r w:rsidR="0012496C" w:rsidRPr="00485D46">
        <w:rPr>
          <w:rFonts w:ascii="Times New Roman" w:hAnsi="Times New Roman" w:cs="Times New Roman"/>
          <w:bCs/>
          <w:color w:val="000000" w:themeColor="text1"/>
          <w:sz w:val="24"/>
          <w:szCs w:val="24"/>
          <w:lang w:val="en-GB"/>
        </w:rPr>
        <w:t>.</w:t>
      </w:r>
      <w:r w:rsidR="0045154B" w:rsidRPr="00485D46">
        <w:rPr>
          <w:rFonts w:ascii="Times New Roman" w:hAnsi="Times New Roman" w:cs="Times New Roman"/>
          <w:bCs/>
          <w:color w:val="000000" w:themeColor="text1"/>
          <w:sz w:val="24"/>
          <w:szCs w:val="24"/>
          <w:lang w:val="en-GB"/>
        </w:rPr>
        <w:t xml:space="preserve"> (2010).</w:t>
      </w:r>
      <w:r w:rsidRPr="00485D46">
        <w:rPr>
          <w:rFonts w:ascii="Times New Roman" w:hAnsi="Times New Roman" w:cs="Times New Roman"/>
          <w:bCs/>
          <w:color w:val="000000" w:themeColor="text1"/>
          <w:sz w:val="24"/>
          <w:szCs w:val="24"/>
          <w:lang w:val="en-GB"/>
        </w:rPr>
        <w:fldChar w:fldCharType="begin" w:fldLock="1"/>
      </w:r>
      <w:r w:rsidR="00C02A4E">
        <w:rPr>
          <w:rFonts w:ascii="Times New Roman" w:hAnsi="Times New Roman" w:cs="Times New Roman"/>
          <w:bCs/>
          <w:color w:val="000000" w:themeColor="text1"/>
          <w:sz w:val="24"/>
          <w:szCs w:val="24"/>
          <w:lang w:val="en-GB"/>
        </w:rPr>
        <w:instrText>ADDIN CSL_CITATION {"citationItems":[{"id":"ITEM-1","itemData":{"DOI":"10.1186/1748-5908-5-69","ISSN":"1748-5908","PMID":"20854677","abstract":"BACKGROUND Scoping studies are an increasingly popular approach to reviewing health research evidence. In 2005, Arksey and O'Malley published the first methodological framework for conducting scoping studies. While this framework provides an excellent foundation for scoping study methodology, further clarifying and enhancing this framework will help support the consistency with which authors undertake and report scoping studies and may encourage researchers and clinicians to engage in this process. DISCUSSION We build upon our experiences conducting three scoping studies using the Arksey and O'Malley methodology to propose recommendations that clarify and enhance each stage of the framework. Recommendations include: clarifying and linking the purpose and research question (stage one); balancing feasibility with breadth and comprehensiveness of the scoping process (stage two); using an iterative team approach to selecting studies (stage three) and extracting data (stage four); incorporating a numerical summary and qualitative thematic analysis, reporting results, and considering the implications of study findings to policy, practice, or research (stage five); and incorporating consultation with stakeholders as a required knowledge translation component of scoping study methodology (stage six). Lastly, we propose additional considerations for scoping study methodology in order to support the advancement, application and relevance of scoping studies in health research. SUMMARY Specific recommendations to clarify and enhance this methodology are outlined for each stage of the Arksey and O'Malley framework. Continued debate and development about scoping study methodology will help to maximize the usefulness and rigor of scoping study findings within healthcare research and practice.","author":[{"dropping-particle":"","family":"Levac","given":"Danielle","non-dropping-particle":"","parse-names":false,"suffix":""},{"dropping-particle":"","family":"Colquhoun","given":"Heather","non-dropping-particle":"","parse-names":false,"suffix":""},{"dropping-particle":"","family":"O'Brien","given":"Kelly K","non-dropping-particle":"","parse-names":false,"suffix":""}],"container-title":"Implementation Science","id":"ITEM-1","issue":"1","issued":{"date-parts":[["2010","12","20"]]},"page":"69","title":"Scoping studies: advancing the methodology","type":"article-journal","volume":"5"},"uris":["http://www.mendeley.com/documents/?uuid=1a1a92e3-7dc0-315b-bfff-106759a80318"]}],"mendeley":{"formattedCitation":"&lt;sup&gt;19&lt;/sup&gt;","plainTextFormattedCitation":"19","previouslyFormattedCitation":"&lt;sup&gt;19&lt;/sup&gt;"},"properties":{"noteIndex":0},"schema":"https://github.com/citation-style-language/schema/raw/master/csl-citation.json"}</w:instrText>
      </w:r>
      <w:r w:rsidRPr="00485D46">
        <w:rPr>
          <w:rFonts w:ascii="Times New Roman" w:hAnsi="Times New Roman" w:cs="Times New Roman"/>
          <w:bCs/>
          <w:color w:val="000000" w:themeColor="text1"/>
          <w:sz w:val="24"/>
          <w:szCs w:val="24"/>
          <w:lang w:val="en-GB"/>
        </w:rPr>
        <w:fldChar w:fldCharType="separate"/>
      </w:r>
      <w:r w:rsidR="00485D46" w:rsidRPr="00485D46">
        <w:rPr>
          <w:rFonts w:ascii="Times New Roman" w:hAnsi="Times New Roman" w:cs="Times New Roman"/>
          <w:bCs/>
          <w:noProof/>
          <w:color w:val="000000" w:themeColor="text1"/>
          <w:sz w:val="24"/>
          <w:szCs w:val="24"/>
          <w:vertAlign w:val="superscript"/>
          <w:lang w:val="en-GB"/>
        </w:rPr>
        <w:t>19</w:t>
      </w:r>
      <w:r w:rsidRPr="00485D46">
        <w:rPr>
          <w:rFonts w:ascii="Times New Roman" w:hAnsi="Times New Roman" w:cs="Times New Roman"/>
          <w:bCs/>
          <w:color w:val="000000" w:themeColor="text1"/>
          <w:sz w:val="24"/>
          <w:szCs w:val="24"/>
          <w:lang w:val="en-GB"/>
        </w:rPr>
        <w:fldChar w:fldCharType="end"/>
      </w:r>
      <w:r w:rsidRPr="00485D46">
        <w:rPr>
          <w:rFonts w:ascii="Times New Roman" w:hAnsi="Times New Roman" w:cs="Times New Roman"/>
          <w:bCs/>
          <w:color w:val="000000" w:themeColor="text1"/>
          <w:sz w:val="24"/>
          <w:szCs w:val="24"/>
          <w:lang w:val="en-GB"/>
        </w:rPr>
        <w:t xml:space="preserve"> </w:t>
      </w:r>
      <w:r w:rsidR="0012496C" w:rsidRPr="00485D46">
        <w:rPr>
          <w:rFonts w:ascii="Times New Roman" w:hAnsi="Times New Roman" w:cs="Times New Roman"/>
          <w:bCs/>
          <w:color w:val="000000" w:themeColor="text1"/>
          <w:sz w:val="24"/>
          <w:szCs w:val="24"/>
          <w:lang w:val="en-GB"/>
        </w:rPr>
        <w:t>Besides</w:t>
      </w:r>
      <w:r w:rsidRPr="00485D46">
        <w:rPr>
          <w:rFonts w:ascii="Times New Roman" w:hAnsi="Times New Roman" w:cs="Times New Roman"/>
          <w:bCs/>
          <w:color w:val="000000" w:themeColor="text1"/>
          <w:sz w:val="24"/>
          <w:szCs w:val="24"/>
          <w:lang w:val="en-GB"/>
        </w:rPr>
        <w:t xml:space="preserve">, </w:t>
      </w:r>
      <w:r w:rsidR="0012496C" w:rsidRPr="00485D46">
        <w:rPr>
          <w:rFonts w:ascii="Times New Roman" w:hAnsi="Times New Roman" w:cs="Times New Roman"/>
          <w:bCs/>
          <w:color w:val="000000" w:themeColor="text1"/>
          <w:sz w:val="24"/>
          <w:szCs w:val="24"/>
          <w:lang w:val="en-GB"/>
        </w:rPr>
        <w:t xml:space="preserve">we will consult </w:t>
      </w:r>
      <w:r w:rsidRPr="00485D46">
        <w:rPr>
          <w:rFonts w:ascii="Times New Roman" w:hAnsi="Times New Roman" w:cs="Times New Roman"/>
          <w:bCs/>
          <w:color w:val="000000" w:themeColor="text1"/>
          <w:sz w:val="24"/>
          <w:szCs w:val="24"/>
          <w:lang w:val="en-GB"/>
        </w:rPr>
        <w:t>the Joanna Briggs Institute Manual for scoping Review.</w:t>
      </w:r>
      <w:r w:rsidR="00262CCF" w:rsidRPr="00485D46">
        <w:rPr>
          <w:rFonts w:ascii="Times New Roman" w:hAnsi="Times New Roman" w:cs="Times New Roman"/>
          <w:bCs/>
          <w:color w:val="000000" w:themeColor="text1"/>
          <w:sz w:val="24"/>
          <w:szCs w:val="24"/>
          <w:lang w:val="en-GB"/>
        </w:rPr>
        <w:fldChar w:fldCharType="begin" w:fldLock="1"/>
      </w:r>
      <w:r w:rsidR="00C02A4E">
        <w:rPr>
          <w:rFonts w:ascii="Times New Roman" w:hAnsi="Times New Roman" w:cs="Times New Roman"/>
          <w:bCs/>
          <w:color w:val="000000" w:themeColor="text1"/>
          <w:sz w:val="24"/>
          <w:szCs w:val="24"/>
          <w:lang w:val="en-GB"/>
        </w:rPr>
        <w:instrText>ADDIN CSL_CITATION {"citationItems":[{"id":"ITEM-1","itemData":{"URL":"https://wiki.joannabriggs.org/display/MANUAL/JBI+Reviewer%27s+Manual+-+.pdf+updated+March+2020?preview=/61636614/62390385/JBI_Reviewers_Manual_2020March.pdf","accessed":{"date-parts":[["2020","5","18"]]},"id":"ITEM-1","issued":{"date-parts":[["0"]]},"title":"JBI Reviewer's Manual - .pdf updated March 2020 - JBI Reviewer's Manual - JBI GLOBAL WIKI","type":"webpage"},"uris":["http://www.mendeley.com/documents/?uuid=860cc8ff-e936-46e3-930b-b56cc684addc"]}],"mendeley":{"formattedCitation":"&lt;sup&gt;20&lt;/sup&gt;","plainTextFormattedCitation":"20","previouslyFormattedCitation":"&lt;sup&gt;20&lt;/sup&gt;"},"properties":{"noteIndex":0},"schema":"https://github.com/citation-style-language/schema/raw/master/csl-citation.json"}</w:instrText>
      </w:r>
      <w:r w:rsidR="00262CCF" w:rsidRPr="00485D46">
        <w:rPr>
          <w:rFonts w:ascii="Times New Roman" w:hAnsi="Times New Roman" w:cs="Times New Roman"/>
          <w:bCs/>
          <w:color w:val="000000" w:themeColor="text1"/>
          <w:sz w:val="24"/>
          <w:szCs w:val="24"/>
          <w:lang w:val="en-GB"/>
        </w:rPr>
        <w:fldChar w:fldCharType="separate"/>
      </w:r>
      <w:r w:rsidR="00485D46" w:rsidRPr="00485D46">
        <w:rPr>
          <w:rFonts w:ascii="Times New Roman" w:hAnsi="Times New Roman" w:cs="Times New Roman"/>
          <w:bCs/>
          <w:noProof/>
          <w:color w:val="000000" w:themeColor="text1"/>
          <w:sz w:val="24"/>
          <w:szCs w:val="24"/>
          <w:vertAlign w:val="superscript"/>
          <w:lang w:val="en-GB"/>
        </w:rPr>
        <w:t>20</w:t>
      </w:r>
      <w:r w:rsidR="00262CCF" w:rsidRPr="00485D46">
        <w:rPr>
          <w:rFonts w:ascii="Times New Roman" w:hAnsi="Times New Roman" w:cs="Times New Roman"/>
          <w:bCs/>
          <w:color w:val="000000" w:themeColor="text1"/>
          <w:sz w:val="24"/>
          <w:szCs w:val="24"/>
          <w:lang w:val="en-GB"/>
        </w:rPr>
        <w:fldChar w:fldCharType="end"/>
      </w:r>
      <w:r w:rsidRPr="00485D46">
        <w:rPr>
          <w:rFonts w:ascii="Times New Roman" w:hAnsi="Times New Roman" w:cs="Times New Roman"/>
          <w:bCs/>
          <w:color w:val="000000" w:themeColor="text1"/>
          <w:sz w:val="24"/>
          <w:szCs w:val="24"/>
          <w:lang w:val="en-GB"/>
        </w:rPr>
        <w:t xml:space="preserve"> It will include </w:t>
      </w:r>
      <w:r w:rsidR="0012496C" w:rsidRPr="00485D46">
        <w:rPr>
          <w:rFonts w:ascii="Times New Roman" w:hAnsi="Times New Roman" w:cs="Times New Roman"/>
          <w:bCs/>
          <w:color w:val="000000" w:themeColor="text1"/>
          <w:sz w:val="24"/>
          <w:szCs w:val="24"/>
          <w:lang w:val="en-GB"/>
        </w:rPr>
        <w:t>papers</w:t>
      </w:r>
      <w:r w:rsidRPr="00485D46">
        <w:rPr>
          <w:rFonts w:ascii="Times New Roman" w:hAnsi="Times New Roman" w:cs="Times New Roman"/>
          <w:bCs/>
          <w:color w:val="000000" w:themeColor="text1"/>
          <w:sz w:val="24"/>
          <w:szCs w:val="24"/>
          <w:lang w:val="en-GB"/>
        </w:rPr>
        <w:t xml:space="preserve"> that report on different </w:t>
      </w:r>
      <w:r w:rsidR="00262CCF" w:rsidRPr="00485D46">
        <w:rPr>
          <w:rFonts w:ascii="Times New Roman" w:hAnsi="Times New Roman" w:cs="Times New Roman"/>
          <w:bCs/>
          <w:color w:val="000000" w:themeColor="text1"/>
          <w:sz w:val="24"/>
          <w:szCs w:val="24"/>
          <w:lang w:val="en-GB"/>
        </w:rPr>
        <w:t>par</w:t>
      </w:r>
      <w:r w:rsidR="0012496C" w:rsidRPr="00485D46">
        <w:rPr>
          <w:rFonts w:ascii="Times New Roman" w:hAnsi="Times New Roman" w:cs="Times New Roman"/>
          <w:bCs/>
          <w:color w:val="000000" w:themeColor="text1"/>
          <w:sz w:val="24"/>
          <w:szCs w:val="24"/>
          <w:lang w:val="en-GB"/>
        </w:rPr>
        <w:t>a</w:t>
      </w:r>
      <w:r w:rsidR="00262CCF" w:rsidRPr="00485D46">
        <w:rPr>
          <w:rFonts w:ascii="Times New Roman" w:hAnsi="Times New Roman" w:cs="Times New Roman"/>
          <w:bCs/>
          <w:color w:val="000000" w:themeColor="text1"/>
          <w:sz w:val="24"/>
          <w:szCs w:val="24"/>
          <w:lang w:val="en-GB"/>
        </w:rPr>
        <w:t xml:space="preserve">meters measured by </w:t>
      </w:r>
      <w:r w:rsidRPr="00485D46">
        <w:rPr>
          <w:rFonts w:ascii="Times New Roman" w:hAnsi="Times New Roman" w:cs="Times New Roman"/>
          <w:bCs/>
          <w:color w:val="000000" w:themeColor="text1"/>
          <w:sz w:val="24"/>
          <w:szCs w:val="24"/>
          <w:lang w:val="en-GB"/>
        </w:rPr>
        <w:t>force plate</w:t>
      </w:r>
      <w:r w:rsidR="00262CCF" w:rsidRPr="00485D46">
        <w:rPr>
          <w:rFonts w:ascii="Times New Roman" w:hAnsi="Times New Roman" w:cs="Times New Roman"/>
          <w:bCs/>
          <w:color w:val="000000" w:themeColor="text1"/>
          <w:sz w:val="24"/>
          <w:szCs w:val="24"/>
          <w:lang w:val="en-GB"/>
        </w:rPr>
        <w:t>s</w:t>
      </w:r>
      <w:r w:rsidRPr="00485D46">
        <w:rPr>
          <w:rFonts w:ascii="Times New Roman" w:hAnsi="Times New Roman" w:cs="Times New Roman"/>
          <w:bCs/>
          <w:color w:val="000000" w:themeColor="text1"/>
          <w:sz w:val="24"/>
          <w:szCs w:val="24"/>
          <w:lang w:val="en-GB"/>
        </w:rPr>
        <w:t xml:space="preserve"> (outcome) in individuals with primary ACLR (exposure).</w:t>
      </w:r>
    </w:p>
    <w:p w14:paraId="5BA65197" w14:textId="782E45E4" w:rsidR="00EF400C" w:rsidRPr="00485D46" w:rsidRDefault="00EF400C" w:rsidP="005D0E2E">
      <w:pPr>
        <w:pStyle w:val="NoSpacing"/>
        <w:jc w:val="both"/>
        <w:rPr>
          <w:rFonts w:ascii="Times New Roman" w:hAnsi="Times New Roman" w:cs="Times New Roman"/>
          <w:bCs/>
          <w:color w:val="000000" w:themeColor="text1"/>
          <w:sz w:val="24"/>
          <w:szCs w:val="24"/>
          <w:lang w:val="en-GB"/>
        </w:rPr>
      </w:pPr>
      <w:r w:rsidRPr="00485D46">
        <w:rPr>
          <w:rFonts w:ascii="Times New Roman" w:hAnsi="Times New Roman" w:cs="Times New Roman"/>
          <w:bCs/>
          <w:color w:val="000000" w:themeColor="text1"/>
          <w:sz w:val="24"/>
          <w:szCs w:val="24"/>
          <w:lang w:val="en-GB"/>
        </w:rPr>
        <w:t>The PRISMA Extension for Scoping Reviews (PRISMA-</w:t>
      </w:r>
      <w:proofErr w:type="spellStart"/>
      <w:r w:rsidRPr="00485D46">
        <w:rPr>
          <w:rFonts w:ascii="Times New Roman" w:hAnsi="Times New Roman" w:cs="Times New Roman"/>
          <w:bCs/>
          <w:color w:val="000000" w:themeColor="text1"/>
          <w:sz w:val="24"/>
          <w:szCs w:val="24"/>
          <w:lang w:val="en-GB"/>
        </w:rPr>
        <w:t>ScR</w:t>
      </w:r>
      <w:proofErr w:type="spellEnd"/>
      <w:r w:rsidRPr="00485D46">
        <w:rPr>
          <w:rFonts w:ascii="Times New Roman" w:hAnsi="Times New Roman" w:cs="Times New Roman"/>
          <w:bCs/>
          <w:color w:val="000000" w:themeColor="text1"/>
          <w:sz w:val="24"/>
          <w:szCs w:val="24"/>
          <w:lang w:val="en-GB"/>
        </w:rPr>
        <w:t>) will guide the development of this protocol and the reporting of the final scoping review.</w:t>
      </w:r>
      <w:r w:rsidR="00262CCF" w:rsidRPr="00485D46">
        <w:rPr>
          <w:rFonts w:ascii="Times New Roman" w:hAnsi="Times New Roman" w:cs="Times New Roman"/>
          <w:bCs/>
          <w:color w:val="000000" w:themeColor="text1"/>
          <w:sz w:val="24"/>
          <w:szCs w:val="24"/>
          <w:lang w:val="en-GB"/>
        </w:rPr>
        <w:fldChar w:fldCharType="begin" w:fldLock="1"/>
      </w:r>
      <w:r w:rsidR="00C02A4E">
        <w:rPr>
          <w:rFonts w:ascii="Times New Roman" w:hAnsi="Times New Roman" w:cs="Times New Roman"/>
          <w:bCs/>
          <w:color w:val="000000" w:themeColor="text1"/>
          <w:sz w:val="24"/>
          <w:szCs w:val="24"/>
          <w:lang w:val="en-GB"/>
        </w:rPr>
        <w:instrText>ADDIN CSL_CITATION {"citationItems":[{"id":"ITEM-1","itemData":{"DOI":"10.7326/M18-0850","ISSN":"0003-4819","author":[{"dropping-particle":"","family":"Tricco","given":"Andrea C.","non-dropping-particle":"","parse-names":false,"suffix":""},{"dropping-particle":"","family":"Lillie","given":"Erin","non-dropping-particle":"","parse-names":false,"suffix":""},{"dropping-particle":"","family":"Zarin","given":"Wasifa","non-dropping-particle":"","parse-names":false,"suffix":""},{"dropping-particle":"","family":"O'Brien","given":"Kelly K.","non-dropping-particle":"","parse-names":false,"suffix":""},{"dropping-particle":"","family":"Colquhoun","given":"Heather","non-dropping-particle":"","parse-names":false,"suffix":""},{"dropping-particle":"","family":"Levac","given":"Danielle","non-dropping-particle":"","parse-names":false,"suffix":""},{"dropping-particle":"","family":"Moher","given":"David","non-dropping-particle":"","parse-names":false,"suffix":""},{"dropping-particle":"","family":"Peters","given":"Micah D.J.","non-dropping-particle":"","parse-names":false,"suffix":""},{"dropping-particle":"","family":"Horsley","given":"Tanya","non-dropping-particle":"","parse-names":false,"suffix":""},{"dropping-particle":"","family":"Weeks","given":"Laura","non-dropping-particle":"","parse-names":false,"suffix":""},{"dropping-particle":"","family":"Hempel","given":"Susanne","non-dropping-particle":"","parse-names":false,"suffix":""},{"dropping-particle":"","family":"Akl","given":"Elie A.","non-dropping-particle":"","parse-names":false,"suffix":""},{"dropping-particle":"","family":"Chang","given":"Christine","non-dropping-particle":"","parse-names":false,"suffix":""},{"dropping-particle":"","family":"McGowan","given":"Jessie","non-dropping-particle":"","parse-names":false,"suffix":""},{"dropping-particle":"","family":"Stewart","given":"Lesley","non-dropping-particle":"","parse-names":false,"suffix":""},{"dropping-particle":"","family":"Hartling","given":"Lisa","non-dropping-particle":"","parse-names":false,"suffix":""},{"dropping-particle":"","family":"Aldcroft","given":"Adrian","non-dropping-particle":"","parse-names":false,"suffix":""},{"dropping-particle":"","family":"Wilson","given":"Michael G.","non-dropping-particle":"","parse-names":false,"suffix":""},{"dropping-particle":"","family":"Garritty","given":"Chantelle","non-dropping-particle":"","parse-names":false,"suffix":""},{"dropping-particle":"","family":"Lewin","given":"Simon","non-dropping-particle":"","parse-names":false,"suffix":""},{"dropping-particle":"","family":"Godfrey","given":"Christina M.","non-dropping-particle":"","parse-names":false,"suffix":""},{"dropping-particle":"","family":"Macdonald","given":"Marilyn T.","non-dropping-particle":"","parse-names":false,"suffix":""},{"dropping-particle":"V.","family":"Langlois","given":"Etienne","non-dropping-particle":"","parse-names":false,"suffix":""},{"dropping-particle":"","family":"Soares-Weiser","given":"Karla","non-dropping-particle":"","parse-names":false,"suffix":""},{"dropping-particle":"","family":"Moriarty","given":"Jo","non-dropping-particle":"","parse-names":false,"suffix":""},{"dropping-particle":"","family":"Clifford","given":"Tammy","non-dropping-particle":"","parse-names":false,"suffix":""},{"dropping-particle":"","family":"Tunçalp","given":"Özge","non-dropping-particle":"","parse-names":false,"suffix":""},{"dropping-particle":"","family":"Straus","given":"Sharon E.","non-dropping-particle":"","parse-names":false,"suffix":""}],"container-title":"Annals of Internal Medicine","id":"ITEM-1","issue":"7","issued":{"date-parts":[["2018","10","2"]]},"page":"467","publisher":"American College of Physicians","title":"PRISMA Extension for Scoping Reviews (PRISMA-ScR): Checklist and Explanation","type":"article-journal","volume":"169"},"uris":["http://www.mendeley.com/documents/?uuid=7b8012a3-398b-3a80-91ce-117931be5359"]}],"mendeley":{"formattedCitation":"&lt;sup&gt;21&lt;/sup&gt;","plainTextFormattedCitation":"21","previouslyFormattedCitation":"&lt;sup&gt;21&lt;/sup&gt;"},"properties":{"noteIndex":0},"schema":"https://github.com/citation-style-language/schema/raw/master/csl-citation.json"}</w:instrText>
      </w:r>
      <w:r w:rsidR="00262CCF" w:rsidRPr="00485D46">
        <w:rPr>
          <w:rFonts w:ascii="Times New Roman" w:hAnsi="Times New Roman" w:cs="Times New Roman"/>
          <w:bCs/>
          <w:color w:val="000000" w:themeColor="text1"/>
          <w:sz w:val="24"/>
          <w:szCs w:val="24"/>
          <w:lang w:val="en-GB"/>
        </w:rPr>
        <w:fldChar w:fldCharType="separate"/>
      </w:r>
      <w:r w:rsidR="00485D46" w:rsidRPr="00485D46">
        <w:rPr>
          <w:rFonts w:ascii="Times New Roman" w:hAnsi="Times New Roman" w:cs="Times New Roman"/>
          <w:bCs/>
          <w:noProof/>
          <w:color w:val="000000" w:themeColor="text1"/>
          <w:sz w:val="24"/>
          <w:szCs w:val="24"/>
          <w:vertAlign w:val="superscript"/>
          <w:lang w:val="en-GB"/>
        </w:rPr>
        <w:t>21</w:t>
      </w:r>
      <w:r w:rsidR="00262CCF" w:rsidRPr="00485D46">
        <w:rPr>
          <w:rFonts w:ascii="Times New Roman" w:hAnsi="Times New Roman" w:cs="Times New Roman"/>
          <w:bCs/>
          <w:color w:val="000000" w:themeColor="text1"/>
          <w:sz w:val="24"/>
          <w:szCs w:val="24"/>
          <w:lang w:val="en-GB"/>
        </w:rPr>
        <w:fldChar w:fldCharType="end"/>
      </w:r>
      <w:r w:rsidRPr="00485D46">
        <w:rPr>
          <w:rFonts w:ascii="Times New Roman" w:hAnsi="Times New Roman" w:cs="Times New Roman"/>
          <w:bCs/>
          <w:color w:val="000000" w:themeColor="text1"/>
          <w:sz w:val="24"/>
          <w:szCs w:val="24"/>
          <w:lang w:val="en-GB"/>
        </w:rPr>
        <w:t xml:space="preserve"> </w:t>
      </w:r>
    </w:p>
    <w:p w14:paraId="2C051693" w14:textId="77777777" w:rsidR="00E36614" w:rsidRPr="00485D46" w:rsidRDefault="00E36614" w:rsidP="005D0E2E">
      <w:pPr>
        <w:pStyle w:val="NoSpacing"/>
        <w:jc w:val="both"/>
        <w:rPr>
          <w:rFonts w:ascii="Times New Roman" w:hAnsi="Times New Roman" w:cs="Times New Roman"/>
          <w:b/>
          <w:color w:val="000000" w:themeColor="text1"/>
          <w:sz w:val="24"/>
          <w:szCs w:val="24"/>
        </w:rPr>
      </w:pPr>
    </w:p>
    <w:p w14:paraId="04E4972B" w14:textId="77777777" w:rsidR="00885114" w:rsidRPr="00485D46" w:rsidRDefault="00885114" w:rsidP="005D0E2E">
      <w:pPr>
        <w:tabs>
          <w:tab w:val="left" w:pos="284"/>
        </w:tabs>
        <w:contextualSpacing/>
        <w:jc w:val="both"/>
        <w:rPr>
          <w:color w:val="000000" w:themeColor="text1"/>
          <w:lang w:val="en-US"/>
        </w:rPr>
      </w:pPr>
    </w:p>
    <w:p w14:paraId="24F382CF" w14:textId="6DF6B68C" w:rsidR="00C02A4E" w:rsidRDefault="00C02A4E" w:rsidP="00C02A4E">
      <w:pPr>
        <w:pStyle w:val="Caption"/>
        <w:keepNext/>
      </w:pPr>
      <w:r>
        <w:t xml:space="preserve">Table </w:t>
      </w:r>
      <w:fldSimple w:instr=" SEQ Table \* ARABIC ">
        <w:r w:rsidR="00F50321">
          <w:rPr>
            <w:noProof/>
          </w:rPr>
          <w:t>1</w:t>
        </w:r>
      </w:fldSimple>
      <w:r>
        <w:t xml:space="preserve"> Arksey and O'Malley 5-stage methodological framework</w:t>
      </w:r>
      <w:r w:rsidR="00F50321">
        <w:fldChar w:fldCharType="begin" w:fldLock="1"/>
      </w:r>
      <w:r w:rsidR="00F50321">
        <w:instrText>ADDIN CSL_CITATION {"citationItems":[{"id":"ITEM-1","itemData":{"DOI":"10.1080/1364557032000119616","ISSN":"1364-5579","abstract":"This paper focuses on scoping studies, an approach to reviewing the literature which to date has received little attention in the research methods literature. We distinguish between different types of scoping studies and indicate where these stand in relation to full systematic reviews. We outline a framework for conducting a scoping study based on our recent experiences of reviewing the literature on services for carers for people with mental health problems. Where appropriate, our approach to scoping the field is contrasted with the procedures followed in systematic reviews. We emphasize how including a consultation exercise in this sort of study may enhance the results, making them more useful to policy makers, practitioners and service users. Finally, we consider the advantages and limitations of the approach and suggest that a wider debate is called for about the role of the scoping study in relation to other types of literature reviews.","author":[{"dropping-particle":"","family":"Arksey","given":"Hilary","non-dropping-particle":"","parse-names":false,"suffix":""},{"dropping-particle":"","family":"O'Malley","given":"Lisa","non-dropping-particle":"","parse-names":false,"suffix":""}],"container-title":"International Journal of Social Research Methodology","id":"ITEM-1","issue":"1","issued":{"date-parts":[["2005","2"]]},"page":"19-32","publisher":" Taylor and Francis Group Ltd ","title":"Scoping studies: towards a methodological framework","type":"article-journal","volume":"8"},"uris":["http://www.mendeley.com/documents/?uuid=355dc0ff-31a2-38bf-a007-521bd70a93ef"]}],"mendeley":{"formattedCitation":"&lt;sup&gt;18&lt;/sup&gt;","plainTextFormattedCitation":"18","previouslyFormattedCitation":"&lt;sup&gt;19&lt;/sup&gt;"},"properties":{"noteIndex":0},"schema":"https://github.com/citation-style-language/schema/raw/master/csl-citation.json"}</w:instrText>
      </w:r>
      <w:r w:rsidR="00F50321">
        <w:fldChar w:fldCharType="separate"/>
      </w:r>
      <w:r w:rsidR="00F50321" w:rsidRPr="00F50321">
        <w:rPr>
          <w:i w:val="0"/>
          <w:noProof/>
          <w:vertAlign w:val="superscript"/>
        </w:rPr>
        <w:t>18</w:t>
      </w:r>
      <w:r w:rsidR="00F50321">
        <w:fldChar w:fldCharType="end"/>
      </w:r>
    </w:p>
    <w:tbl>
      <w:tblPr>
        <w:tblStyle w:val="LightShading-Accent3"/>
        <w:tblW w:w="9576" w:type="dxa"/>
        <w:tblLook w:val="04A0" w:firstRow="1" w:lastRow="0" w:firstColumn="1" w:lastColumn="0" w:noHBand="0" w:noVBand="1"/>
      </w:tblPr>
      <w:tblGrid>
        <w:gridCol w:w="1526"/>
        <w:gridCol w:w="8050"/>
      </w:tblGrid>
      <w:tr w:rsidR="00B7571C" w:rsidRPr="00485D46" w14:paraId="4941E1F3" w14:textId="77777777" w:rsidTr="00B757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3F979A7B" w14:textId="796A647E" w:rsidR="00B7571C" w:rsidRPr="00485D46" w:rsidRDefault="00B7571C" w:rsidP="005D0E2E">
            <w:pPr>
              <w:tabs>
                <w:tab w:val="left" w:pos="284"/>
              </w:tabs>
              <w:contextualSpacing/>
              <w:jc w:val="both"/>
              <w:rPr>
                <w:color w:val="000000" w:themeColor="text1"/>
                <w:lang w:val="en-US"/>
              </w:rPr>
            </w:pPr>
            <w:r w:rsidRPr="00485D46">
              <w:rPr>
                <w:color w:val="000000" w:themeColor="text1"/>
              </w:rPr>
              <w:t>Stage 1</w:t>
            </w:r>
          </w:p>
        </w:tc>
        <w:tc>
          <w:tcPr>
            <w:tcW w:w="8050" w:type="dxa"/>
          </w:tcPr>
          <w:p w14:paraId="5BB21AE3" w14:textId="2B9FCC40" w:rsidR="00B7571C" w:rsidRPr="00485D46" w:rsidRDefault="00B7571C" w:rsidP="005D0E2E">
            <w:pPr>
              <w:tabs>
                <w:tab w:val="left" w:pos="284"/>
              </w:tabs>
              <w:contextualSpacing/>
              <w:jc w:val="both"/>
              <w:cnfStyle w:val="100000000000" w:firstRow="1" w:lastRow="0" w:firstColumn="0" w:lastColumn="0" w:oddVBand="0" w:evenVBand="0" w:oddHBand="0" w:evenHBand="0" w:firstRowFirstColumn="0" w:firstRowLastColumn="0" w:lastRowFirstColumn="0" w:lastRowLastColumn="0"/>
              <w:rPr>
                <w:color w:val="000000" w:themeColor="text1"/>
                <w:lang w:val="en-US"/>
              </w:rPr>
            </w:pPr>
            <w:r w:rsidRPr="00485D46">
              <w:rPr>
                <w:color w:val="000000" w:themeColor="text1"/>
              </w:rPr>
              <w:t>Identify the scope and inquiries</w:t>
            </w:r>
          </w:p>
        </w:tc>
      </w:tr>
      <w:tr w:rsidR="00B7571C" w:rsidRPr="00485D46" w14:paraId="13975DF4" w14:textId="77777777" w:rsidTr="00B757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5D23FE9D" w14:textId="019E27AB" w:rsidR="00B7571C" w:rsidRPr="00485D46" w:rsidRDefault="00B7571C" w:rsidP="005D0E2E">
            <w:pPr>
              <w:tabs>
                <w:tab w:val="left" w:pos="284"/>
              </w:tabs>
              <w:contextualSpacing/>
              <w:jc w:val="both"/>
              <w:rPr>
                <w:color w:val="000000" w:themeColor="text1"/>
                <w:lang w:val="en-US"/>
              </w:rPr>
            </w:pPr>
            <w:r w:rsidRPr="00485D46">
              <w:rPr>
                <w:color w:val="000000" w:themeColor="text1"/>
              </w:rPr>
              <w:t>Stage 2</w:t>
            </w:r>
          </w:p>
        </w:tc>
        <w:tc>
          <w:tcPr>
            <w:tcW w:w="8050" w:type="dxa"/>
          </w:tcPr>
          <w:p w14:paraId="525ACF29" w14:textId="2C6B72A4" w:rsidR="00B7571C" w:rsidRPr="00485D46" w:rsidRDefault="00B7571C" w:rsidP="005D0E2E">
            <w:pPr>
              <w:tabs>
                <w:tab w:val="left" w:pos="284"/>
              </w:tabs>
              <w:contextualSpacing/>
              <w:jc w:val="both"/>
              <w:cnfStyle w:val="000000100000" w:firstRow="0" w:lastRow="0" w:firstColumn="0" w:lastColumn="0" w:oddVBand="0" w:evenVBand="0" w:oddHBand="1" w:evenHBand="0" w:firstRowFirstColumn="0" w:firstRowLastColumn="0" w:lastRowFirstColumn="0" w:lastRowLastColumn="0"/>
              <w:rPr>
                <w:color w:val="000000" w:themeColor="text1"/>
                <w:lang w:val="en-US"/>
              </w:rPr>
            </w:pPr>
            <w:r w:rsidRPr="00485D46">
              <w:rPr>
                <w:bCs/>
                <w:color w:val="000000" w:themeColor="text1"/>
              </w:rPr>
              <w:t>Identify data sources and search</w:t>
            </w:r>
          </w:p>
        </w:tc>
      </w:tr>
      <w:tr w:rsidR="00B7571C" w:rsidRPr="00485D46" w14:paraId="73572F0C" w14:textId="77777777" w:rsidTr="00B7571C">
        <w:tc>
          <w:tcPr>
            <w:cnfStyle w:val="001000000000" w:firstRow="0" w:lastRow="0" w:firstColumn="1" w:lastColumn="0" w:oddVBand="0" w:evenVBand="0" w:oddHBand="0" w:evenHBand="0" w:firstRowFirstColumn="0" w:firstRowLastColumn="0" w:lastRowFirstColumn="0" w:lastRowLastColumn="0"/>
            <w:tcW w:w="1526" w:type="dxa"/>
          </w:tcPr>
          <w:p w14:paraId="16F16892" w14:textId="2B648232" w:rsidR="00B7571C" w:rsidRPr="00485D46" w:rsidRDefault="00B7571C" w:rsidP="005D0E2E">
            <w:pPr>
              <w:tabs>
                <w:tab w:val="left" w:pos="284"/>
              </w:tabs>
              <w:contextualSpacing/>
              <w:jc w:val="both"/>
              <w:rPr>
                <w:color w:val="000000" w:themeColor="text1"/>
                <w:lang w:val="en-US"/>
              </w:rPr>
            </w:pPr>
            <w:r w:rsidRPr="00485D46">
              <w:rPr>
                <w:color w:val="000000" w:themeColor="text1"/>
              </w:rPr>
              <w:t>Stage 3</w:t>
            </w:r>
          </w:p>
        </w:tc>
        <w:tc>
          <w:tcPr>
            <w:tcW w:w="8050" w:type="dxa"/>
          </w:tcPr>
          <w:p w14:paraId="6B7AA195" w14:textId="3119CAAE" w:rsidR="00B7571C" w:rsidRPr="00485D46" w:rsidRDefault="00B7571C" w:rsidP="005D0E2E">
            <w:pPr>
              <w:tabs>
                <w:tab w:val="left" w:pos="284"/>
              </w:tabs>
              <w:contextualSpacing/>
              <w:jc w:val="both"/>
              <w:cnfStyle w:val="000000000000" w:firstRow="0" w:lastRow="0" w:firstColumn="0" w:lastColumn="0" w:oddVBand="0" w:evenVBand="0" w:oddHBand="0" w:evenHBand="0" w:firstRowFirstColumn="0" w:firstRowLastColumn="0" w:lastRowFirstColumn="0" w:lastRowLastColumn="0"/>
              <w:rPr>
                <w:color w:val="000000" w:themeColor="text1"/>
                <w:lang w:val="en-US"/>
              </w:rPr>
            </w:pPr>
            <w:r w:rsidRPr="00485D46">
              <w:rPr>
                <w:bCs/>
                <w:color w:val="000000" w:themeColor="text1"/>
              </w:rPr>
              <w:t>Record screening and study selection</w:t>
            </w:r>
          </w:p>
        </w:tc>
      </w:tr>
      <w:tr w:rsidR="00B7571C" w:rsidRPr="00485D46" w14:paraId="1CF2BDE3" w14:textId="77777777" w:rsidTr="00B757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70148D70" w14:textId="49E37F0C" w:rsidR="00B7571C" w:rsidRPr="00485D46" w:rsidRDefault="00B7571C" w:rsidP="005D0E2E">
            <w:pPr>
              <w:tabs>
                <w:tab w:val="left" w:pos="284"/>
              </w:tabs>
              <w:contextualSpacing/>
              <w:jc w:val="both"/>
              <w:rPr>
                <w:color w:val="000000" w:themeColor="text1"/>
                <w:lang w:val="en-US"/>
              </w:rPr>
            </w:pPr>
            <w:r w:rsidRPr="00485D46">
              <w:rPr>
                <w:color w:val="000000" w:themeColor="text1"/>
              </w:rPr>
              <w:t xml:space="preserve">Stage 4 </w:t>
            </w:r>
          </w:p>
        </w:tc>
        <w:tc>
          <w:tcPr>
            <w:tcW w:w="8050" w:type="dxa"/>
          </w:tcPr>
          <w:p w14:paraId="3E5360C6" w14:textId="45814B87" w:rsidR="00B7571C" w:rsidRPr="00485D46" w:rsidRDefault="00B7571C" w:rsidP="005D0E2E">
            <w:pPr>
              <w:tabs>
                <w:tab w:val="left" w:pos="284"/>
              </w:tabs>
              <w:contextualSpacing/>
              <w:jc w:val="both"/>
              <w:cnfStyle w:val="000000100000" w:firstRow="0" w:lastRow="0" w:firstColumn="0" w:lastColumn="0" w:oddVBand="0" w:evenVBand="0" w:oddHBand="1" w:evenHBand="0" w:firstRowFirstColumn="0" w:firstRowLastColumn="0" w:lastRowFirstColumn="0" w:lastRowLastColumn="0"/>
              <w:rPr>
                <w:color w:val="000000" w:themeColor="text1"/>
                <w:lang w:val="en-US"/>
              </w:rPr>
            </w:pPr>
            <w:r w:rsidRPr="00485D46">
              <w:rPr>
                <w:bCs/>
                <w:color w:val="000000" w:themeColor="text1"/>
              </w:rPr>
              <w:t>Data charting</w:t>
            </w:r>
          </w:p>
        </w:tc>
      </w:tr>
      <w:tr w:rsidR="00B7571C" w:rsidRPr="00485D46" w14:paraId="0A5A8EE8" w14:textId="77777777" w:rsidTr="00B7571C">
        <w:tc>
          <w:tcPr>
            <w:cnfStyle w:val="001000000000" w:firstRow="0" w:lastRow="0" w:firstColumn="1" w:lastColumn="0" w:oddVBand="0" w:evenVBand="0" w:oddHBand="0" w:evenHBand="0" w:firstRowFirstColumn="0" w:firstRowLastColumn="0" w:lastRowFirstColumn="0" w:lastRowLastColumn="0"/>
            <w:tcW w:w="1526" w:type="dxa"/>
          </w:tcPr>
          <w:p w14:paraId="3F59C019" w14:textId="378DCE42" w:rsidR="00B7571C" w:rsidRPr="00485D46" w:rsidRDefault="00B7571C" w:rsidP="005D0E2E">
            <w:pPr>
              <w:tabs>
                <w:tab w:val="left" w:pos="284"/>
              </w:tabs>
              <w:contextualSpacing/>
              <w:jc w:val="both"/>
              <w:rPr>
                <w:color w:val="000000" w:themeColor="text1"/>
                <w:lang w:val="en-US"/>
              </w:rPr>
            </w:pPr>
            <w:r w:rsidRPr="00485D46">
              <w:rPr>
                <w:color w:val="000000" w:themeColor="text1"/>
              </w:rPr>
              <w:t xml:space="preserve">Stage 5 </w:t>
            </w:r>
          </w:p>
        </w:tc>
        <w:tc>
          <w:tcPr>
            <w:tcW w:w="8050" w:type="dxa"/>
          </w:tcPr>
          <w:p w14:paraId="634FCF2A" w14:textId="0C3B5D7A" w:rsidR="00B7571C" w:rsidRPr="00485D46" w:rsidRDefault="00B7571C" w:rsidP="005D0E2E">
            <w:pPr>
              <w:tabs>
                <w:tab w:val="left" w:pos="284"/>
              </w:tabs>
              <w:contextualSpacing/>
              <w:jc w:val="both"/>
              <w:cnfStyle w:val="000000000000" w:firstRow="0" w:lastRow="0" w:firstColumn="0" w:lastColumn="0" w:oddVBand="0" w:evenVBand="0" w:oddHBand="0" w:evenHBand="0" w:firstRowFirstColumn="0" w:firstRowLastColumn="0" w:lastRowFirstColumn="0" w:lastRowLastColumn="0"/>
              <w:rPr>
                <w:color w:val="000000" w:themeColor="text1"/>
                <w:lang w:val="en-US"/>
              </w:rPr>
            </w:pPr>
            <w:r w:rsidRPr="00485D46">
              <w:rPr>
                <w:bCs/>
                <w:color w:val="000000" w:themeColor="text1"/>
              </w:rPr>
              <w:t>Collate, summarize, analyze and report the results</w:t>
            </w:r>
          </w:p>
        </w:tc>
      </w:tr>
      <w:tr w:rsidR="00B7571C" w:rsidRPr="00485D46" w14:paraId="34DABE20" w14:textId="77777777" w:rsidTr="00B757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23EE6AB7" w14:textId="5AA00941" w:rsidR="00B7571C" w:rsidRPr="00485D46" w:rsidRDefault="00B7571C" w:rsidP="005D0E2E">
            <w:pPr>
              <w:tabs>
                <w:tab w:val="left" w:pos="284"/>
              </w:tabs>
              <w:contextualSpacing/>
              <w:jc w:val="both"/>
              <w:rPr>
                <w:color w:val="000000" w:themeColor="text1"/>
                <w:lang w:val="en-US"/>
              </w:rPr>
            </w:pPr>
            <w:r w:rsidRPr="00485D46">
              <w:rPr>
                <w:color w:val="000000" w:themeColor="text1"/>
                <w:lang w:val="en-US"/>
              </w:rPr>
              <w:t>Stage 6</w:t>
            </w:r>
          </w:p>
        </w:tc>
        <w:tc>
          <w:tcPr>
            <w:tcW w:w="8050" w:type="dxa"/>
          </w:tcPr>
          <w:p w14:paraId="20D9D36B" w14:textId="488FED16" w:rsidR="00B7571C" w:rsidRPr="00485D46" w:rsidRDefault="00B7571C" w:rsidP="005D0E2E">
            <w:pPr>
              <w:tabs>
                <w:tab w:val="left" w:pos="284"/>
              </w:tabs>
              <w:contextualSpacing/>
              <w:jc w:val="both"/>
              <w:cnfStyle w:val="000000100000" w:firstRow="0" w:lastRow="0" w:firstColumn="0" w:lastColumn="0" w:oddVBand="0" w:evenVBand="0" w:oddHBand="1" w:evenHBand="0" w:firstRowFirstColumn="0" w:firstRowLastColumn="0" w:lastRowFirstColumn="0" w:lastRowLastColumn="0"/>
              <w:rPr>
                <w:color w:val="000000" w:themeColor="text1"/>
                <w:lang w:val="en-US"/>
              </w:rPr>
            </w:pPr>
            <w:r w:rsidRPr="00485D46">
              <w:rPr>
                <w:color w:val="000000" w:themeColor="text1"/>
                <w:lang w:val="en-US"/>
              </w:rPr>
              <w:t>Stakeholders' consultation</w:t>
            </w:r>
          </w:p>
        </w:tc>
      </w:tr>
    </w:tbl>
    <w:p w14:paraId="62EB5FB0" w14:textId="77777777" w:rsidR="006C4BCD" w:rsidRPr="00485D46" w:rsidRDefault="006C4BCD" w:rsidP="005D0E2E">
      <w:pPr>
        <w:pStyle w:val="NoSpacing"/>
        <w:jc w:val="both"/>
        <w:rPr>
          <w:rFonts w:ascii="Times New Roman" w:hAnsi="Times New Roman" w:cs="Times New Roman"/>
          <w:b/>
          <w:color w:val="000000" w:themeColor="text1"/>
          <w:sz w:val="24"/>
          <w:szCs w:val="24"/>
        </w:rPr>
      </w:pPr>
    </w:p>
    <w:p w14:paraId="3DE98173" w14:textId="32AAF0F9" w:rsidR="00F67D3F" w:rsidRPr="00485D46" w:rsidRDefault="00F67D3F" w:rsidP="005D0E2E">
      <w:pPr>
        <w:pStyle w:val="NoSpacing"/>
        <w:jc w:val="both"/>
        <w:rPr>
          <w:rFonts w:ascii="Times New Roman" w:hAnsi="Times New Roman" w:cs="Times New Roman"/>
          <w:b/>
          <w:color w:val="000000" w:themeColor="text1"/>
          <w:sz w:val="24"/>
          <w:szCs w:val="24"/>
        </w:rPr>
      </w:pPr>
      <w:r w:rsidRPr="00485D46">
        <w:rPr>
          <w:rFonts w:ascii="Times New Roman" w:hAnsi="Times New Roman" w:cs="Times New Roman"/>
          <w:b/>
          <w:color w:val="000000" w:themeColor="text1"/>
          <w:sz w:val="24"/>
          <w:szCs w:val="24"/>
        </w:rPr>
        <w:t>Study team</w:t>
      </w:r>
    </w:p>
    <w:p w14:paraId="7E916659" w14:textId="77777777" w:rsidR="008D1386" w:rsidRPr="00485D46" w:rsidRDefault="008D1386" w:rsidP="005D0E2E">
      <w:pPr>
        <w:pStyle w:val="NoSpacing"/>
        <w:jc w:val="both"/>
        <w:rPr>
          <w:rFonts w:ascii="Times New Roman" w:hAnsi="Times New Roman" w:cs="Times New Roman"/>
          <w:color w:val="000000" w:themeColor="text1"/>
          <w:sz w:val="24"/>
          <w:szCs w:val="24"/>
        </w:rPr>
      </w:pPr>
    </w:p>
    <w:p w14:paraId="4ECEAB95" w14:textId="780C6AB4" w:rsidR="00F67D3F" w:rsidRPr="00485D46" w:rsidRDefault="006D7349" w:rsidP="005D0E2E">
      <w:pPr>
        <w:pStyle w:val="NoSpacing"/>
        <w:jc w:val="both"/>
        <w:rPr>
          <w:rFonts w:ascii="Times New Roman" w:hAnsi="Times New Roman" w:cs="Times New Roman"/>
          <w:color w:val="000000" w:themeColor="text1"/>
          <w:sz w:val="24"/>
          <w:szCs w:val="24"/>
        </w:rPr>
      </w:pPr>
      <w:r w:rsidRPr="00485D46">
        <w:rPr>
          <w:rFonts w:ascii="Times New Roman" w:hAnsi="Times New Roman" w:cs="Times New Roman"/>
          <w:color w:val="000000" w:themeColor="text1"/>
          <w:sz w:val="24"/>
          <w:szCs w:val="24"/>
        </w:rPr>
        <w:t>To reduce a potential source of bias and facilitate robust and relevant clinical review findings</w:t>
      </w:r>
      <w:r w:rsidR="00262CCF" w:rsidRPr="00485D46">
        <w:rPr>
          <w:rFonts w:ascii="Times New Roman" w:hAnsi="Times New Roman" w:cs="Times New Roman"/>
          <w:color w:val="000000" w:themeColor="text1"/>
          <w:sz w:val="24"/>
          <w:szCs w:val="24"/>
        </w:rPr>
        <w:t>,</w:t>
      </w:r>
      <w:r w:rsidR="002200BF" w:rsidRPr="00485D46">
        <w:rPr>
          <w:rFonts w:ascii="Times New Roman" w:hAnsi="Times New Roman" w:cs="Times New Roman"/>
          <w:color w:val="000000" w:themeColor="text1"/>
          <w:sz w:val="24"/>
          <w:szCs w:val="24"/>
        </w:rPr>
        <w:fldChar w:fldCharType="begin" w:fldLock="1"/>
      </w:r>
      <w:r w:rsidR="00C02A4E">
        <w:rPr>
          <w:rFonts w:ascii="Times New Roman" w:hAnsi="Times New Roman" w:cs="Times New Roman"/>
          <w:color w:val="000000" w:themeColor="text1"/>
          <w:sz w:val="24"/>
          <w:szCs w:val="24"/>
        </w:rPr>
        <w:instrText>ADDIN CSL_CITATION {"citationItems":[{"id":"ITEM-1","itemData":{"DOI":"10.1186/s13643-017-0548-x","ISSN":"20464053","abstract":"There is an increasing body of research documenting flaws in many published systematic reviews' methodological and reporting conduct. When good systematic review practice is questioned, attention is rarely turned to the composition of the team that conducted the systematic review. This commentary highlights a number of relevant articles indicating how the composition of the review team could jeopardise the integrity of the systematic review study and its conclusions. Key biases require closer attention such as sponsorship bias and researcher allegiance, but there may also be less obvious affiliations in teams conducting secondary evidence-syntheses. The importance of transparency and disclosure are now firmly on the agenda for clinical trials and primary research, but the meta-biases that systematic reviews may be at risk from now require further scrutiny.","author":[{"dropping-particle":"","family":"Uttley","given":"Lesley","non-dropping-particle":"","parse-names":false,"suffix":""},{"dropping-particle":"","family":"Montgomery","given":"Paul","non-dropping-particle":"","parse-names":false,"suffix":""}],"container-title":"Systematic Reviews","id":"ITEM-1","issue":"1","issued":{"date-parts":[["2017","8","1"]]},"page":"149","publisher":"BioMed Central Ltd.","title":"The influence of the team in conducting a systematic review","type":"article","volume":"6"},"uris":["http://www.mendeley.com/documents/?uuid=39727cb5-d780-35a0-b34e-f2cbf4bd0155"]}],"mendeley":{"formattedCitation":"&lt;sup&gt;22&lt;/sup&gt;","plainTextFormattedCitation":"22","previouslyFormattedCitation":"&lt;sup&gt;22&lt;/sup&gt;"},"properties":{"noteIndex":0},"schema":"https://github.com/citation-style-language/schema/raw/master/csl-citation.json"}</w:instrText>
      </w:r>
      <w:r w:rsidR="002200BF" w:rsidRPr="00485D46">
        <w:rPr>
          <w:rFonts w:ascii="Times New Roman" w:hAnsi="Times New Roman" w:cs="Times New Roman"/>
          <w:color w:val="000000" w:themeColor="text1"/>
          <w:sz w:val="24"/>
          <w:szCs w:val="24"/>
        </w:rPr>
        <w:fldChar w:fldCharType="separate"/>
      </w:r>
      <w:r w:rsidR="00485D46" w:rsidRPr="00485D46">
        <w:rPr>
          <w:rFonts w:ascii="Times New Roman" w:hAnsi="Times New Roman" w:cs="Times New Roman"/>
          <w:noProof/>
          <w:color w:val="000000" w:themeColor="text1"/>
          <w:sz w:val="24"/>
          <w:szCs w:val="24"/>
          <w:vertAlign w:val="superscript"/>
        </w:rPr>
        <w:t>22</w:t>
      </w:r>
      <w:r w:rsidR="002200BF" w:rsidRPr="00485D46">
        <w:rPr>
          <w:rFonts w:ascii="Times New Roman" w:hAnsi="Times New Roman" w:cs="Times New Roman"/>
          <w:color w:val="000000" w:themeColor="text1"/>
          <w:sz w:val="24"/>
          <w:szCs w:val="24"/>
        </w:rPr>
        <w:fldChar w:fldCharType="end"/>
      </w:r>
      <w:r w:rsidRPr="00485D46">
        <w:rPr>
          <w:rFonts w:ascii="Times New Roman" w:hAnsi="Times New Roman" w:cs="Times New Roman"/>
          <w:color w:val="000000" w:themeColor="text1"/>
          <w:sz w:val="24"/>
          <w:szCs w:val="24"/>
        </w:rPr>
        <w:t xml:space="preserve"> </w:t>
      </w:r>
      <w:r w:rsidR="002200BF" w:rsidRPr="00485D46">
        <w:rPr>
          <w:rFonts w:ascii="Times New Roman" w:hAnsi="Times New Roman" w:cs="Times New Roman"/>
          <w:color w:val="000000" w:themeColor="text1"/>
          <w:sz w:val="24"/>
          <w:szCs w:val="24"/>
        </w:rPr>
        <w:t>the multidisciplinary study team included individuals with various expertise in research methodology, epidemiology, evidence synthesis</w:t>
      </w:r>
      <w:r w:rsidR="00F40194" w:rsidRPr="00485D46">
        <w:rPr>
          <w:rFonts w:ascii="Times New Roman" w:hAnsi="Times New Roman" w:cs="Times New Roman"/>
          <w:color w:val="000000" w:themeColor="text1"/>
          <w:sz w:val="24"/>
          <w:szCs w:val="24"/>
        </w:rPr>
        <w:t>, sport and exercise therapy, knee injuries rehabilitation, kinesiology</w:t>
      </w:r>
      <w:r w:rsidR="00DE5673" w:rsidRPr="00485D46">
        <w:rPr>
          <w:rFonts w:ascii="Times New Roman" w:hAnsi="Times New Roman" w:cs="Times New Roman"/>
          <w:color w:val="000000" w:themeColor="text1"/>
          <w:sz w:val="24"/>
          <w:szCs w:val="24"/>
        </w:rPr>
        <w:t>,</w:t>
      </w:r>
      <w:r w:rsidR="00F40194" w:rsidRPr="00485D46">
        <w:rPr>
          <w:rFonts w:ascii="Times New Roman" w:hAnsi="Times New Roman" w:cs="Times New Roman"/>
          <w:color w:val="000000" w:themeColor="text1"/>
          <w:sz w:val="24"/>
          <w:szCs w:val="24"/>
        </w:rPr>
        <w:t xml:space="preserve"> and engineering</w:t>
      </w:r>
      <w:r w:rsidR="00262CCF" w:rsidRPr="00485D46">
        <w:rPr>
          <w:rFonts w:ascii="Times New Roman" w:hAnsi="Times New Roman" w:cs="Times New Roman"/>
          <w:color w:val="000000" w:themeColor="text1"/>
          <w:sz w:val="24"/>
          <w:szCs w:val="24"/>
        </w:rPr>
        <w:t>.</w:t>
      </w:r>
      <w:r w:rsidR="00F40194" w:rsidRPr="00485D46">
        <w:rPr>
          <w:rFonts w:ascii="Times New Roman" w:hAnsi="Times New Roman" w:cs="Times New Roman"/>
          <w:color w:val="000000" w:themeColor="text1"/>
          <w:sz w:val="24"/>
          <w:szCs w:val="24"/>
        </w:rPr>
        <w:fldChar w:fldCharType="begin" w:fldLock="1"/>
      </w:r>
      <w:r w:rsidR="00C02A4E">
        <w:rPr>
          <w:rFonts w:ascii="Times New Roman" w:hAnsi="Times New Roman" w:cs="Times New Roman"/>
          <w:color w:val="000000" w:themeColor="text1"/>
          <w:sz w:val="24"/>
          <w:szCs w:val="24"/>
        </w:rPr>
        <w:instrText>ADDIN CSL_CITATION {"citationItems":[{"id":"ITEM-1","itemData":{"DOI":"10.1186/1748-5908-5-69","ISSN":"1748-5908","PMID":"20854677","abstract":"BACKGROUND Scoping studies are an increasingly popular approach to reviewing health research evidence. In 2005, Arksey and O'Malley published the first methodological framework for conducting scoping studies. While this framework provides an excellent foundation for scoping study methodology, further clarifying and enhancing this framework will help support the consistency with which authors undertake and report scoping studies and may encourage researchers and clinicians to engage in this process. DISCUSSION We build upon our experiences conducting three scoping studies using the Arksey and O'Malley methodology to propose recommendations that clarify and enhance each stage of the framework. Recommendations include: clarifying and linking the purpose and research question (stage one); balancing feasibility with breadth and comprehensiveness of the scoping process (stage two); using an iterative team approach to selecting studies (stage three) and extracting data (stage four); incorporating a numerical summary and qualitative thematic analysis, reporting results, and considering the implications of study findings to policy, practice, or research (stage five); and incorporating consultation with stakeholders as a required knowledge translation component of scoping study methodology (stage six). Lastly, we propose additional considerations for scoping study methodology in order to support the advancement, application and relevance of scoping studies in health research. SUMMARY Specific recommendations to clarify and enhance this methodology are outlined for each stage of the Arksey and O'Malley framework. Continued debate and development about scoping study methodology will help to maximize the usefulness and rigor of scoping study findings within healthcare research and practice.","author":[{"dropping-particle":"","family":"Levac","given":"Danielle","non-dropping-particle":"","parse-names":false,"suffix":""},{"dropping-particle":"","family":"Colquhoun","given":"Heather","non-dropping-particle":"","parse-names":false,"suffix":""},{"dropping-particle":"","family":"O'Brien","given":"Kelly K","non-dropping-particle":"","parse-names":false,"suffix":""}],"container-title":"Implementation Science","id":"ITEM-1","issue":"1","issued":{"date-parts":[["2010","12","20"]]},"page":"69","title":"Scoping studies: advancing the methodology","type":"article-journal","volume":"5"},"uris":["http://www.mendeley.com/documents/?uuid=1a1a92e3-7dc0-315b-bfff-106759a80318"]}],"mendeley":{"formattedCitation":"&lt;sup&gt;19&lt;/sup&gt;","plainTextFormattedCitation":"19","previouslyFormattedCitation":"&lt;sup&gt;19&lt;/sup&gt;"},"properties":{"noteIndex":0},"schema":"https://github.com/citation-style-language/schema/raw/master/csl-citation.json"}</w:instrText>
      </w:r>
      <w:r w:rsidR="00F40194" w:rsidRPr="00485D46">
        <w:rPr>
          <w:rFonts w:ascii="Times New Roman" w:hAnsi="Times New Roman" w:cs="Times New Roman"/>
          <w:color w:val="000000" w:themeColor="text1"/>
          <w:sz w:val="24"/>
          <w:szCs w:val="24"/>
        </w:rPr>
        <w:fldChar w:fldCharType="separate"/>
      </w:r>
      <w:r w:rsidR="00485D46" w:rsidRPr="00485D46">
        <w:rPr>
          <w:rFonts w:ascii="Times New Roman" w:hAnsi="Times New Roman" w:cs="Times New Roman"/>
          <w:noProof/>
          <w:color w:val="000000" w:themeColor="text1"/>
          <w:sz w:val="24"/>
          <w:szCs w:val="24"/>
          <w:vertAlign w:val="superscript"/>
        </w:rPr>
        <w:t>19</w:t>
      </w:r>
      <w:r w:rsidR="00F40194" w:rsidRPr="00485D46">
        <w:rPr>
          <w:rFonts w:ascii="Times New Roman" w:hAnsi="Times New Roman" w:cs="Times New Roman"/>
          <w:color w:val="000000" w:themeColor="text1"/>
          <w:sz w:val="24"/>
          <w:szCs w:val="24"/>
        </w:rPr>
        <w:fldChar w:fldCharType="end"/>
      </w:r>
      <w:r w:rsidR="00F40194" w:rsidRPr="00485D46">
        <w:rPr>
          <w:rFonts w:ascii="Times New Roman" w:hAnsi="Times New Roman" w:cs="Times New Roman"/>
          <w:color w:val="000000" w:themeColor="text1"/>
          <w:sz w:val="24"/>
          <w:szCs w:val="24"/>
        </w:rPr>
        <w:t xml:space="preserve"> </w:t>
      </w:r>
      <w:r w:rsidR="002200BF" w:rsidRPr="00485D46">
        <w:rPr>
          <w:rFonts w:ascii="Times New Roman" w:hAnsi="Times New Roman" w:cs="Times New Roman"/>
          <w:color w:val="000000" w:themeColor="text1"/>
          <w:sz w:val="24"/>
          <w:szCs w:val="24"/>
        </w:rPr>
        <w:t xml:space="preserve"> </w:t>
      </w:r>
    </w:p>
    <w:p w14:paraId="43BAEBBF" w14:textId="77777777" w:rsidR="004A0FD3" w:rsidRDefault="004A0FD3" w:rsidP="005D0E2E">
      <w:pPr>
        <w:pStyle w:val="NoSpacing"/>
        <w:jc w:val="both"/>
        <w:rPr>
          <w:rFonts w:ascii="Times New Roman" w:hAnsi="Times New Roman" w:cs="Times New Roman"/>
          <w:b/>
          <w:color w:val="000000" w:themeColor="text1"/>
          <w:sz w:val="24"/>
          <w:szCs w:val="24"/>
        </w:rPr>
      </w:pPr>
    </w:p>
    <w:p w14:paraId="0074A53C" w14:textId="77777777" w:rsidR="00F50321" w:rsidRPr="00485D46" w:rsidRDefault="00F50321" w:rsidP="005D0E2E">
      <w:pPr>
        <w:pStyle w:val="NoSpacing"/>
        <w:jc w:val="both"/>
        <w:rPr>
          <w:rFonts w:ascii="Times New Roman" w:hAnsi="Times New Roman" w:cs="Times New Roman"/>
          <w:b/>
          <w:color w:val="000000" w:themeColor="text1"/>
          <w:sz w:val="24"/>
          <w:szCs w:val="24"/>
        </w:rPr>
      </w:pPr>
    </w:p>
    <w:p w14:paraId="04E1716D" w14:textId="6A433961" w:rsidR="00B31EE9" w:rsidRPr="00485D46" w:rsidRDefault="00EF400C" w:rsidP="005D0E2E">
      <w:pPr>
        <w:pStyle w:val="NoSpacing"/>
        <w:jc w:val="both"/>
        <w:rPr>
          <w:rFonts w:ascii="Times New Roman" w:hAnsi="Times New Roman" w:cs="Times New Roman"/>
          <w:b/>
          <w:color w:val="000000" w:themeColor="text1"/>
          <w:sz w:val="24"/>
          <w:szCs w:val="24"/>
        </w:rPr>
      </w:pPr>
      <w:r w:rsidRPr="00485D46">
        <w:rPr>
          <w:rFonts w:ascii="Times New Roman" w:hAnsi="Times New Roman" w:cs="Times New Roman"/>
          <w:b/>
          <w:color w:val="000000" w:themeColor="text1"/>
          <w:sz w:val="24"/>
          <w:szCs w:val="24"/>
        </w:rPr>
        <w:t xml:space="preserve">Stage 1: </w:t>
      </w:r>
      <w:r w:rsidR="00B31EE9" w:rsidRPr="00485D46">
        <w:rPr>
          <w:rFonts w:ascii="Times New Roman" w:hAnsi="Times New Roman" w:cs="Times New Roman"/>
          <w:b/>
          <w:color w:val="000000" w:themeColor="text1"/>
          <w:sz w:val="24"/>
          <w:szCs w:val="24"/>
        </w:rPr>
        <w:t xml:space="preserve">Identifying the </w:t>
      </w:r>
      <w:r w:rsidR="005C60DE" w:rsidRPr="00485D46">
        <w:rPr>
          <w:rFonts w:ascii="Times New Roman" w:hAnsi="Times New Roman" w:cs="Times New Roman"/>
          <w:b/>
          <w:color w:val="000000" w:themeColor="text1"/>
          <w:sz w:val="24"/>
          <w:szCs w:val="24"/>
        </w:rPr>
        <w:t>scope and inquiries</w:t>
      </w:r>
    </w:p>
    <w:p w14:paraId="1847B9AC" w14:textId="77777777" w:rsidR="0092139C" w:rsidRPr="00485D46" w:rsidRDefault="0092139C" w:rsidP="005D0E2E">
      <w:pPr>
        <w:jc w:val="both"/>
        <w:outlineLvl w:val="0"/>
        <w:rPr>
          <w:color w:val="000000" w:themeColor="text1"/>
          <w:u w:val="single"/>
        </w:rPr>
      </w:pPr>
    </w:p>
    <w:p w14:paraId="77C21CF2" w14:textId="16E6D1D6" w:rsidR="000A453B" w:rsidRPr="00485D46" w:rsidRDefault="00EF400C" w:rsidP="005D0E2E">
      <w:pPr>
        <w:jc w:val="both"/>
        <w:outlineLvl w:val="0"/>
        <w:rPr>
          <w:color w:val="000000" w:themeColor="text1"/>
        </w:rPr>
      </w:pPr>
      <w:r w:rsidRPr="00485D46">
        <w:rPr>
          <w:color w:val="000000" w:themeColor="text1"/>
          <w:u w:val="single"/>
        </w:rPr>
        <w:t>The research question</w:t>
      </w:r>
      <w:r w:rsidR="00861C89" w:rsidRPr="00485D46">
        <w:rPr>
          <w:color w:val="000000" w:themeColor="text1"/>
          <w:u w:val="single"/>
        </w:rPr>
        <w:t>s</w:t>
      </w:r>
      <w:r w:rsidRPr="00485D46">
        <w:rPr>
          <w:color w:val="000000" w:themeColor="text1"/>
          <w:u w:val="single"/>
        </w:rPr>
        <w:t xml:space="preserve"> that will guide this scoping review </w:t>
      </w:r>
      <w:r w:rsidR="00861C89" w:rsidRPr="00485D46">
        <w:rPr>
          <w:color w:val="000000" w:themeColor="text1"/>
          <w:u w:val="single"/>
        </w:rPr>
        <w:t>are</w:t>
      </w:r>
      <w:r w:rsidRPr="00485D46">
        <w:rPr>
          <w:color w:val="000000" w:themeColor="text1"/>
          <w:u w:val="single"/>
        </w:rPr>
        <w:t>:</w:t>
      </w:r>
      <w:r w:rsidR="004A0FD3" w:rsidRPr="00485D46">
        <w:rPr>
          <w:color w:val="000000" w:themeColor="text1"/>
        </w:rPr>
        <w:t xml:space="preserve"> </w:t>
      </w:r>
    </w:p>
    <w:p w14:paraId="5A0D18E1" w14:textId="77777777" w:rsidR="00861C89" w:rsidRPr="00485D46" w:rsidRDefault="00861C89" w:rsidP="00861C89">
      <w:pPr>
        <w:spacing w:line="480" w:lineRule="auto"/>
        <w:ind w:left="426"/>
        <w:jc w:val="both"/>
        <w:outlineLvl w:val="0"/>
        <w:rPr>
          <w:color w:val="0E101A"/>
        </w:rPr>
      </w:pPr>
      <w:r w:rsidRPr="00485D46">
        <w:rPr>
          <w:color w:val="0E101A"/>
        </w:rPr>
        <w:t xml:space="preserve">What are the current approaches for kinetic measurements in individuals following ACLR? </w:t>
      </w:r>
    </w:p>
    <w:p w14:paraId="438056C4" w14:textId="77777777" w:rsidR="00861C89" w:rsidRPr="00485D46" w:rsidRDefault="00861C89" w:rsidP="00861C89">
      <w:pPr>
        <w:pStyle w:val="NoSpacing"/>
        <w:spacing w:line="480" w:lineRule="auto"/>
        <w:ind w:firstLine="426"/>
        <w:jc w:val="both"/>
        <w:rPr>
          <w:rFonts w:ascii="Times New Roman" w:hAnsi="Times New Roman" w:cs="Times New Roman"/>
          <w:color w:val="0E101A"/>
          <w:sz w:val="24"/>
          <w:szCs w:val="24"/>
        </w:rPr>
      </w:pPr>
      <w:r w:rsidRPr="00485D46">
        <w:rPr>
          <w:rFonts w:ascii="Times New Roman" w:hAnsi="Times New Roman" w:cs="Times New Roman"/>
          <w:color w:val="0E101A"/>
          <w:sz w:val="24"/>
          <w:szCs w:val="24"/>
        </w:rPr>
        <w:t>Is there a need to propose methodological reporting considerations for future studies?</w:t>
      </w:r>
    </w:p>
    <w:p w14:paraId="443F455C" w14:textId="77777777" w:rsidR="004A0FD3" w:rsidRPr="00485D46" w:rsidRDefault="004A0FD3" w:rsidP="00861C89">
      <w:pPr>
        <w:jc w:val="both"/>
        <w:outlineLvl w:val="0"/>
        <w:rPr>
          <w:color w:val="000000" w:themeColor="text1"/>
          <w:u w:val="single"/>
        </w:rPr>
      </w:pPr>
    </w:p>
    <w:p w14:paraId="0CE32E32" w14:textId="588E685A" w:rsidR="005C60DE" w:rsidRPr="00485D46" w:rsidRDefault="005C60DE" w:rsidP="005D0E2E">
      <w:pPr>
        <w:pStyle w:val="NoSpacing"/>
        <w:ind w:left="426"/>
        <w:jc w:val="both"/>
        <w:rPr>
          <w:rFonts w:ascii="Times New Roman" w:hAnsi="Times New Roman" w:cs="Times New Roman"/>
          <w:b/>
          <w:color w:val="000000" w:themeColor="text1"/>
          <w:sz w:val="24"/>
          <w:szCs w:val="24"/>
        </w:rPr>
      </w:pPr>
      <w:r w:rsidRPr="00485D46">
        <w:rPr>
          <w:rFonts w:ascii="Times New Roman" w:hAnsi="Times New Roman" w:cs="Times New Roman"/>
          <w:b/>
          <w:color w:val="000000" w:themeColor="text1"/>
          <w:sz w:val="24"/>
          <w:szCs w:val="24"/>
        </w:rPr>
        <w:t xml:space="preserve">Participants (population): </w:t>
      </w:r>
      <w:r w:rsidRPr="00485D46">
        <w:rPr>
          <w:rFonts w:ascii="Times New Roman" w:hAnsi="Times New Roman" w:cs="Times New Roman"/>
          <w:color w:val="000000" w:themeColor="text1"/>
          <w:sz w:val="24"/>
          <w:szCs w:val="24"/>
        </w:rPr>
        <w:t>This review will consider studies that included participants from different ages, sexes, sports</w:t>
      </w:r>
      <w:r w:rsidR="00710988" w:rsidRPr="00485D46">
        <w:rPr>
          <w:rFonts w:ascii="Times New Roman" w:hAnsi="Times New Roman" w:cs="Times New Roman"/>
          <w:color w:val="000000" w:themeColor="text1"/>
          <w:sz w:val="24"/>
          <w:szCs w:val="24"/>
        </w:rPr>
        <w:t xml:space="preserve"> and</w:t>
      </w:r>
      <w:r w:rsidRPr="00485D46">
        <w:rPr>
          <w:rFonts w:ascii="Times New Roman" w:hAnsi="Times New Roman" w:cs="Times New Roman"/>
          <w:color w:val="000000" w:themeColor="text1"/>
          <w:sz w:val="24"/>
          <w:szCs w:val="24"/>
        </w:rPr>
        <w:t xml:space="preserve"> activity levels</w:t>
      </w:r>
      <w:r w:rsidR="00710988" w:rsidRPr="00485D46">
        <w:rPr>
          <w:rFonts w:ascii="Times New Roman" w:hAnsi="Times New Roman" w:cs="Times New Roman"/>
          <w:color w:val="000000" w:themeColor="text1"/>
          <w:sz w:val="24"/>
          <w:szCs w:val="24"/>
        </w:rPr>
        <w:t>.</w:t>
      </w:r>
      <w:r w:rsidRPr="00485D46">
        <w:rPr>
          <w:rFonts w:ascii="Times New Roman" w:hAnsi="Times New Roman" w:cs="Times New Roman"/>
          <w:color w:val="000000" w:themeColor="text1"/>
          <w:sz w:val="24"/>
          <w:szCs w:val="24"/>
        </w:rPr>
        <w:t xml:space="preserve"> </w:t>
      </w:r>
    </w:p>
    <w:p w14:paraId="026FF415" w14:textId="77777777" w:rsidR="005C60DE" w:rsidRPr="00485D46" w:rsidRDefault="005C60DE" w:rsidP="005D0E2E">
      <w:pPr>
        <w:pStyle w:val="NoSpacing"/>
        <w:tabs>
          <w:tab w:val="left" w:pos="1418"/>
        </w:tabs>
        <w:ind w:left="2204"/>
        <w:jc w:val="both"/>
        <w:rPr>
          <w:rFonts w:ascii="Times New Roman" w:hAnsi="Times New Roman" w:cs="Times New Roman"/>
          <w:b/>
          <w:color w:val="000000" w:themeColor="text1"/>
          <w:sz w:val="24"/>
          <w:szCs w:val="24"/>
        </w:rPr>
      </w:pPr>
      <w:r w:rsidRPr="00485D46">
        <w:rPr>
          <w:rFonts w:ascii="Times New Roman" w:hAnsi="Times New Roman" w:cs="Times New Roman"/>
          <w:b/>
          <w:color w:val="000000" w:themeColor="text1"/>
          <w:sz w:val="24"/>
          <w:szCs w:val="24"/>
        </w:rPr>
        <w:tab/>
      </w:r>
    </w:p>
    <w:p w14:paraId="1BF37AC9" w14:textId="37437130" w:rsidR="005C60DE" w:rsidRPr="00485D46" w:rsidRDefault="005C60DE" w:rsidP="005D0E2E">
      <w:pPr>
        <w:pStyle w:val="NoSpacing"/>
        <w:tabs>
          <w:tab w:val="left" w:pos="1418"/>
        </w:tabs>
        <w:ind w:left="426"/>
        <w:jc w:val="both"/>
        <w:rPr>
          <w:rFonts w:ascii="Times New Roman" w:hAnsi="Times New Roman" w:cs="Times New Roman"/>
          <w:b/>
          <w:color w:val="000000" w:themeColor="text1"/>
          <w:sz w:val="24"/>
          <w:szCs w:val="24"/>
        </w:rPr>
      </w:pPr>
      <w:r w:rsidRPr="00485D46">
        <w:rPr>
          <w:rFonts w:ascii="Times New Roman" w:hAnsi="Times New Roman" w:cs="Times New Roman"/>
          <w:b/>
          <w:color w:val="000000" w:themeColor="text1"/>
          <w:sz w:val="24"/>
          <w:szCs w:val="24"/>
        </w:rPr>
        <w:t xml:space="preserve">Concept: </w:t>
      </w:r>
      <w:r w:rsidRPr="00485D46">
        <w:rPr>
          <w:rFonts w:ascii="Times New Roman" w:hAnsi="Times New Roman" w:cs="Times New Roman"/>
          <w:color w:val="000000" w:themeColor="text1"/>
          <w:sz w:val="24"/>
          <w:szCs w:val="24"/>
        </w:rPr>
        <w:t xml:space="preserve">The review will include studies that reported at least one </w:t>
      </w:r>
      <w:r w:rsidR="00861C89" w:rsidRPr="00485D46">
        <w:rPr>
          <w:rFonts w:ascii="Times New Roman" w:hAnsi="Times New Roman" w:cs="Times New Roman"/>
          <w:color w:val="000000" w:themeColor="text1"/>
          <w:sz w:val="24"/>
          <w:szCs w:val="24"/>
        </w:rPr>
        <w:t xml:space="preserve">kinetic </w:t>
      </w:r>
      <w:r w:rsidRPr="00485D46">
        <w:rPr>
          <w:rFonts w:ascii="Times New Roman" w:hAnsi="Times New Roman" w:cs="Times New Roman"/>
          <w:color w:val="000000" w:themeColor="text1"/>
          <w:sz w:val="24"/>
          <w:szCs w:val="24"/>
        </w:rPr>
        <w:t xml:space="preserve">parameter that was calculated solely based on </w:t>
      </w:r>
      <w:r w:rsidR="00861C89" w:rsidRPr="00485D46">
        <w:rPr>
          <w:rFonts w:ascii="Times New Roman" w:hAnsi="Times New Roman" w:cs="Times New Roman"/>
          <w:color w:val="000000" w:themeColor="text1"/>
          <w:sz w:val="24"/>
          <w:szCs w:val="24"/>
        </w:rPr>
        <w:t>a kinetic measurement system</w:t>
      </w:r>
      <w:r w:rsidRPr="00485D46">
        <w:rPr>
          <w:rFonts w:ascii="Times New Roman" w:hAnsi="Times New Roman" w:cs="Times New Roman"/>
          <w:color w:val="000000" w:themeColor="text1"/>
          <w:sz w:val="24"/>
          <w:szCs w:val="24"/>
        </w:rPr>
        <w:t xml:space="preserve"> data.</w:t>
      </w:r>
      <w:r w:rsidRPr="00485D46">
        <w:rPr>
          <w:rFonts w:ascii="Times New Roman" w:hAnsi="Times New Roman" w:cs="Times New Roman"/>
          <w:b/>
          <w:color w:val="000000" w:themeColor="text1"/>
          <w:sz w:val="24"/>
          <w:szCs w:val="24"/>
        </w:rPr>
        <w:t xml:space="preserve"> </w:t>
      </w:r>
    </w:p>
    <w:p w14:paraId="66BA2A7D" w14:textId="77777777" w:rsidR="005C60DE" w:rsidRPr="00485D46" w:rsidRDefault="005C60DE" w:rsidP="005D0E2E">
      <w:pPr>
        <w:pStyle w:val="NoSpacing"/>
        <w:tabs>
          <w:tab w:val="left" w:pos="1418"/>
        </w:tabs>
        <w:ind w:left="786"/>
        <w:jc w:val="both"/>
        <w:rPr>
          <w:rFonts w:ascii="Times New Roman" w:hAnsi="Times New Roman" w:cs="Times New Roman"/>
          <w:b/>
          <w:color w:val="000000" w:themeColor="text1"/>
          <w:sz w:val="24"/>
          <w:szCs w:val="24"/>
        </w:rPr>
      </w:pPr>
    </w:p>
    <w:p w14:paraId="082A023F" w14:textId="4DAF7944" w:rsidR="00F6763F" w:rsidRPr="00485D46" w:rsidRDefault="005C60DE" w:rsidP="00A52016">
      <w:pPr>
        <w:pStyle w:val="NoSpacing"/>
        <w:tabs>
          <w:tab w:val="left" w:pos="1418"/>
        </w:tabs>
        <w:ind w:left="426"/>
        <w:jc w:val="both"/>
        <w:rPr>
          <w:rFonts w:ascii="Times New Roman" w:hAnsi="Times New Roman" w:cs="Times New Roman"/>
          <w:color w:val="000000" w:themeColor="text1"/>
          <w:sz w:val="24"/>
          <w:szCs w:val="24"/>
        </w:rPr>
      </w:pPr>
      <w:r w:rsidRPr="00485D46">
        <w:rPr>
          <w:rFonts w:ascii="Times New Roman" w:hAnsi="Times New Roman" w:cs="Times New Roman"/>
          <w:b/>
          <w:color w:val="000000" w:themeColor="text1"/>
          <w:sz w:val="24"/>
          <w:szCs w:val="24"/>
        </w:rPr>
        <w:t xml:space="preserve">Context: </w:t>
      </w:r>
      <w:r w:rsidRPr="00485D46">
        <w:rPr>
          <w:rFonts w:ascii="Times New Roman" w:hAnsi="Times New Roman" w:cs="Times New Roman"/>
          <w:color w:val="000000" w:themeColor="text1"/>
          <w:sz w:val="24"/>
          <w:szCs w:val="24"/>
        </w:rPr>
        <w:t xml:space="preserve">Only studies that include </w:t>
      </w:r>
      <w:r w:rsidR="0092139C" w:rsidRPr="00485D46">
        <w:rPr>
          <w:rFonts w:ascii="Times New Roman" w:hAnsi="Times New Roman" w:cs="Times New Roman"/>
          <w:color w:val="000000" w:themeColor="text1"/>
          <w:sz w:val="24"/>
          <w:szCs w:val="24"/>
        </w:rPr>
        <w:t>extractable dat</w:t>
      </w:r>
      <w:r w:rsidR="00DE5673" w:rsidRPr="00485D46">
        <w:rPr>
          <w:rFonts w:ascii="Times New Roman" w:hAnsi="Times New Roman" w:cs="Times New Roman"/>
          <w:color w:val="000000" w:themeColor="text1"/>
          <w:sz w:val="24"/>
          <w:szCs w:val="24"/>
        </w:rPr>
        <w:t>a</w:t>
      </w:r>
      <w:r w:rsidR="0092139C" w:rsidRPr="00485D46">
        <w:rPr>
          <w:rFonts w:ascii="Times New Roman" w:hAnsi="Times New Roman" w:cs="Times New Roman"/>
          <w:color w:val="000000" w:themeColor="text1"/>
          <w:sz w:val="24"/>
          <w:szCs w:val="24"/>
        </w:rPr>
        <w:t xml:space="preserve"> of </w:t>
      </w:r>
      <w:r w:rsidR="00861C89" w:rsidRPr="00485D46">
        <w:rPr>
          <w:rFonts w:ascii="Times New Roman" w:hAnsi="Times New Roman" w:cs="Times New Roman"/>
          <w:color w:val="000000" w:themeColor="text1"/>
          <w:sz w:val="24"/>
          <w:szCs w:val="24"/>
        </w:rPr>
        <w:t xml:space="preserve">individuals who were at least 6 months following a primary ACLR (i.e., following completion of standard rehabilitation) </w:t>
      </w:r>
      <w:r w:rsidRPr="00485D46">
        <w:rPr>
          <w:rFonts w:ascii="Times New Roman" w:hAnsi="Times New Roman" w:cs="Times New Roman"/>
          <w:color w:val="000000" w:themeColor="text1"/>
          <w:sz w:val="24"/>
          <w:szCs w:val="24"/>
        </w:rPr>
        <w:t>will be considered</w:t>
      </w:r>
      <w:r w:rsidR="00357E53" w:rsidRPr="00485D46">
        <w:rPr>
          <w:rFonts w:ascii="Times New Roman" w:hAnsi="Times New Roman" w:cs="Times New Roman"/>
          <w:color w:val="000000" w:themeColor="text1"/>
          <w:sz w:val="24"/>
          <w:szCs w:val="24"/>
        </w:rPr>
        <w:t>.</w:t>
      </w:r>
    </w:p>
    <w:p w14:paraId="5FF7C7A7" w14:textId="77777777" w:rsidR="00A52016" w:rsidRPr="00485D46" w:rsidRDefault="00A52016" w:rsidP="00A52016">
      <w:pPr>
        <w:pStyle w:val="NoSpacing"/>
        <w:tabs>
          <w:tab w:val="left" w:pos="1418"/>
        </w:tabs>
        <w:ind w:left="426"/>
        <w:jc w:val="both"/>
        <w:rPr>
          <w:rFonts w:ascii="Times New Roman" w:hAnsi="Times New Roman" w:cs="Times New Roman"/>
          <w:b/>
          <w:color w:val="000000" w:themeColor="text1"/>
          <w:sz w:val="24"/>
          <w:szCs w:val="24"/>
        </w:rPr>
      </w:pPr>
    </w:p>
    <w:p w14:paraId="37412B0F" w14:textId="426472D9" w:rsidR="005C60DE" w:rsidRPr="00485D46" w:rsidRDefault="005C60DE" w:rsidP="005D0E2E">
      <w:pPr>
        <w:pStyle w:val="NoSpacing"/>
        <w:jc w:val="both"/>
        <w:rPr>
          <w:rFonts w:ascii="Times New Roman" w:hAnsi="Times New Roman" w:cs="Times New Roman"/>
          <w:b/>
          <w:color w:val="000000" w:themeColor="text1"/>
          <w:sz w:val="24"/>
          <w:szCs w:val="24"/>
        </w:rPr>
      </w:pPr>
      <w:r w:rsidRPr="00485D46">
        <w:rPr>
          <w:rFonts w:ascii="Times New Roman" w:hAnsi="Times New Roman" w:cs="Times New Roman"/>
          <w:b/>
          <w:color w:val="000000" w:themeColor="text1"/>
          <w:sz w:val="24"/>
          <w:szCs w:val="24"/>
        </w:rPr>
        <w:t>Eligibility Criteria</w:t>
      </w:r>
    </w:p>
    <w:p w14:paraId="5AE5E39F" w14:textId="77777777" w:rsidR="001A3757" w:rsidRPr="00485D46" w:rsidRDefault="001A3757" w:rsidP="005D0E2E">
      <w:pPr>
        <w:pStyle w:val="NoSpacing"/>
        <w:ind w:left="720"/>
        <w:jc w:val="both"/>
        <w:rPr>
          <w:rFonts w:ascii="Times New Roman" w:hAnsi="Times New Roman" w:cs="Times New Roman"/>
          <w:color w:val="000000" w:themeColor="text1"/>
          <w:sz w:val="24"/>
          <w:szCs w:val="24"/>
        </w:rPr>
      </w:pPr>
    </w:p>
    <w:p w14:paraId="10396214" w14:textId="6AD44927" w:rsidR="0092139C" w:rsidRPr="00485D46" w:rsidRDefault="00861C89" w:rsidP="005D0E2E">
      <w:pPr>
        <w:pStyle w:val="NoSpacing"/>
        <w:jc w:val="both"/>
        <w:rPr>
          <w:rFonts w:ascii="Times New Roman" w:eastAsiaTheme="minorEastAsia" w:hAnsi="Times New Roman" w:cs="Times New Roman"/>
          <w:color w:val="000000" w:themeColor="text1"/>
          <w:sz w:val="24"/>
          <w:szCs w:val="24"/>
        </w:rPr>
      </w:pPr>
      <w:r w:rsidRPr="00485D46">
        <w:rPr>
          <w:rFonts w:ascii="Times New Roman" w:eastAsiaTheme="minorEastAsia" w:hAnsi="Times New Roman" w:cs="Times New Roman"/>
          <w:color w:val="000000" w:themeColor="text1"/>
          <w:sz w:val="24"/>
          <w:szCs w:val="24"/>
        </w:rPr>
        <w:t>All inclusion and exclusion criteria are reported in Table 2</w:t>
      </w:r>
    </w:p>
    <w:p w14:paraId="0EC99B84" w14:textId="77777777" w:rsidR="00861C89" w:rsidRPr="00485D46" w:rsidRDefault="00861C89" w:rsidP="00861C89">
      <w:pPr>
        <w:pStyle w:val="Caption"/>
        <w:keepNext/>
        <w:rPr>
          <w:sz w:val="24"/>
          <w:szCs w:val="24"/>
        </w:rPr>
      </w:pPr>
    </w:p>
    <w:p w14:paraId="638A07D3" w14:textId="710DC636" w:rsidR="00F50321" w:rsidRDefault="00F50321" w:rsidP="00F50321">
      <w:pPr>
        <w:pStyle w:val="Caption"/>
        <w:keepNext/>
      </w:pPr>
      <w:r>
        <w:t xml:space="preserve">Table </w:t>
      </w:r>
      <w:fldSimple w:instr=" SEQ Table \* ARABIC ">
        <w:r>
          <w:rPr>
            <w:noProof/>
          </w:rPr>
          <w:t>2</w:t>
        </w:r>
      </w:fldSimple>
      <w:r>
        <w:t xml:space="preserve"> Inclusion and Exclusion Criteria</w:t>
      </w:r>
    </w:p>
    <w:tbl>
      <w:tblPr>
        <w:tblStyle w:val="GridTable4-Accent31"/>
        <w:tblW w:w="9322" w:type="dxa"/>
        <w:tblLook w:val="04A0" w:firstRow="1" w:lastRow="0" w:firstColumn="1" w:lastColumn="0" w:noHBand="0" w:noVBand="1"/>
      </w:tblPr>
      <w:tblGrid>
        <w:gridCol w:w="4219"/>
        <w:gridCol w:w="5103"/>
      </w:tblGrid>
      <w:tr w:rsidR="00861C89" w:rsidRPr="00C02A4E" w14:paraId="0EA2363D" w14:textId="77777777" w:rsidTr="00664E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Borders>
              <w:right w:val="single" w:sz="2" w:space="0" w:color="FFFFFF" w:themeColor="background1"/>
            </w:tcBorders>
            <w:shd w:val="clear" w:color="auto" w:fill="000000" w:themeFill="text1"/>
          </w:tcPr>
          <w:p w14:paraId="602D9EE5" w14:textId="77777777" w:rsidR="00861C89" w:rsidRPr="00C02A4E" w:rsidRDefault="00861C89" w:rsidP="00664E99">
            <w:pPr>
              <w:tabs>
                <w:tab w:val="left" w:pos="284"/>
              </w:tabs>
              <w:contextualSpacing/>
              <w:jc w:val="both"/>
              <w:rPr>
                <w:sz w:val="20"/>
                <w:szCs w:val="20"/>
              </w:rPr>
            </w:pPr>
            <w:r w:rsidRPr="00C02A4E">
              <w:rPr>
                <w:sz w:val="20"/>
                <w:szCs w:val="20"/>
              </w:rPr>
              <w:t>Inclusion Criteria</w:t>
            </w:r>
          </w:p>
        </w:tc>
        <w:tc>
          <w:tcPr>
            <w:tcW w:w="5103" w:type="dxa"/>
            <w:tcBorders>
              <w:left w:val="single" w:sz="2" w:space="0" w:color="FFFFFF" w:themeColor="background1"/>
            </w:tcBorders>
            <w:shd w:val="clear" w:color="auto" w:fill="000000" w:themeFill="text1"/>
          </w:tcPr>
          <w:p w14:paraId="51358E55" w14:textId="77777777" w:rsidR="00861C89" w:rsidRPr="00C02A4E" w:rsidRDefault="00861C89" w:rsidP="00664E99">
            <w:pPr>
              <w:tabs>
                <w:tab w:val="left" w:pos="284"/>
              </w:tabs>
              <w:contextualSpacing/>
              <w:jc w:val="both"/>
              <w:cnfStyle w:val="100000000000" w:firstRow="1" w:lastRow="0" w:firstColumn="0" w:lastColumn="0" w:oddVBand="0" w:evenVBand="0" w:oddHBand="0" w:evenHBand="0" w:firstRowFirstColumn="0" w:firstRowLastColumn="0" w:lastRowFirstColumn="0" w:lastRowLastColumn="0"/>
              <w:rPr>
                <w:sz w:val="20"/>
                <w:szCs w:val="20"/>
              </w:rPr>
            </w:pPr>
            <w:r w:rsidRPr="00C02A4E">
              <w:rPr>
                <w:sz w:val="20"/>
                <w:szCs w:val="20"/>
              </w:rPr>
              <w:t xml:space="preserve">Exclusion Criteria </w:t>
            </w:r>
          </w:p>
        </w:tc>
      </w:tr>
      <w:tr w:rsidR="00861C89" w:rsidRPr="00C02A4E" w14:paraId="70CBA4F2" w14:textId="77777777" w:rsidTr="00664E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14:paraId="00077018" w14:textId="77777777" w:rsidR="00861C89" w:rsidRPr="00C02A4E" w:rsidRDefault="00861C89" w:rsidP="00664E99">
            <w:pPr>
              <w:tabs>
                <w:tab w:val="left" w:pos="284"/>
              </w:tabs>
              <w:contextualSpacing/>
              <w:jc w:val="both"/>
              <w:rPr>
                <w:b w:val="0"/>
                <w:bCs w:val="0"/>
                <w:color w:val="000000" w:themeColor="text1"/>
                <w:sz w:val="20"/>
                <w:szCs w:val="20"/>
              </w:rPr>
            </w:pPr>
            <w:r w:rsidRPr="00C02A4E">
              <w:rPr>
                <w:b w:val="0"/>
                <w:bCs w:val="0"/>
                <w:color w:val="000000" w:themeColor="text1"/>
                <w:sz w:val="20"/>
                <w:szCs w:val="20"/>
              </w:rPr>
              <w:t>Human participants</w:t>
            </w:r>
          </w:p>
        </w:tc>
        <w:tc>
          <w:tcPr>
            <w:tcW w:w="5103" w:type="dxa"/>
          </w:tcPr>
          <w:p w14:paraId="38640975" w14:textId="77777777" w:rsidR="00861C89" w:rsidRPr="00C02A4E" w:rsidRDefault="00861C89" w:rsidP="00664E99">
            <w:pPr>
              <w:tabs>
                <w:tab w:val="left" w:pos="284"/>
              </w:tabs>
              <w:contextualSpacing/>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02A4E">
              <w:rPr>
                <w:color w:val="000000" w:themeColor="text1"/>
                <w:sz w:val="20"/>
                <w:szCs w:val="20"/>
              </w:rPr>
              <w:t>Animal models or cadavers</w:t>
            </w:r>
          </w:p>
        </w:tc>
      </w:tr>
      <w:tr w:rsidR="00861C89" w:rsidRPr="00C02A4E" w14:paraId="182B41A1" w14:textId="77777777" w:rsidTr="00664E99">
        <w:tc>
          <w:tcPr>
            <w:cnfStyle w:val="001000000000" w:firstRow="0" w:lastRow="0" w:firstColumn="1" w:lastColumn="0" w:oddVBand="0" w:evenVBand="0" w:oddHBand="0" w:evenHBand="0" w:firstRowFirstColumn="0" w:firstRowLastColumn="0" w:lastRowFirstColumn="0" w:lastRowLastColumn="0"/>
            <w:tcW w:w="4219" w:type="dxa"/>
          </w:tcPr>
          <w:p w14:paraId="4F83BE6A" w14:textId="77777777" w:rsidR="00861C89" w:rsidRPr="00C02A4E" w:rsidRDefault="00861C89" w:rsidP="00861C89">
            <w:pPr>
              <w:pStyle w:val="ListParagraph"/>
              <w:numPr>
                <w:ilvl w:val="0"/>
                <w:numId w:val="19"/>
              </w:numPr>
              <w:ind w:left="284" w:hanging="284"/>
              <w:rPr>
                <w:rFonts w:ascii="Times New Roman" w:hAnsi="Times New Roman" w:cs="Times New Roman"/>
                <w:b w:val="0"/>
                <w:color w:val="000000" w:themeColor="text1"/>
                <w:sz w:val="20"/>
                <w:szCs w:val="20"/>
              </w:rPr>
            </w:pPr>
            <w:r w:rsidRPr="00C02A4E">
              <w:rPr>
                <w:rFonts w:ascii="Times New Roman" w:hAnsi="Times New Roman" w:cs="Times New Roman"/>
                <w:b w:val="0"/>
                <w:color w:val="000000" w:themeColor="text1"/>
                <w:sz w:val="20"/>
                <w:szCs w:val="20"/>
              </w:rPr>
              <w:t xml:space="preserve">Primary study design (quantitative &amp; mixed methods) with original published data </w:t>
            </w:r>
          </w:p>
        </w:tc>
        <w:tc>
          <w:tcPr>
            <w:tcW w:w="5103" w:type="dxa"/>
          </w:tcPr>
          <w:p w14:paraId="0C2CD4EF" w14:textId="77777777" w:rsidR="00861C89" w:rsidRPr="00C02A4E" w:rsidRDefault="00861C89" w:rsidP="00861C89">
            <w:pPr>
              <w:pStyle w:val="ListParagraph"/>
              <w:numPr>
                <w:ilvl w:val="0"/>
                <w:numId w:val="19"/>
              </w:numPr>
              <w:tabs>
                <w:tab w:val="left" w:pos="284"/>
              </w:tabs>
              <w:ind w:left="317"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0"/>
                <w:szCs w:val="20"/>
              </w:rPr>
            </w:pPr>
            <w:r w:rsidRPr="00C02A4E">
              <w:rPr>
                <w:rFonts w:ascii="Times New Roman" w:hAnsi="Times New Roman" w:cs="Times New Roman"/>
                <w:bCs/>
                <w:color w:val="000000" w:themeColor="text1"/>
                <w:sz w:val="20"/>
                <w:szCs w:val="20"/>
              </w:rPr>
              <w:t>Qualitative studies and not primary study design or original data (conference proceedings or abstracts, editorials, commentaries, opinion-based papers and systematic, scoping, or narrative reviews)</w:t>
            </w:r>
          </w:p>
          <w:p w14:paraId="02126EA4" w14:textId="77777777" w:rsidR="00861C89" w:rsidRPr="00C02A4E" w:rsidRDefault="00861C89" w:rsidP="00861C89">
            <w:pPr>
              <w:pStyle w:val="ListParagraph"/>
              <w:numPr>
                <w:ilvl w:val="0"/>
                <w:numId w:val="19"/>
              </w:numPr>
              <w:tabs>
                <w:tab w:val="left" w:pos="284"/>
              </w:tabs>
              <w:ind w:left="317"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02A4E">
              <w:rPr>
                <w:rFonts w:ascii="Times New Roman" w:hAnsi="Times New Roman" w:cs="Times New Roman"/>
                <w:bCs/>
                <w:color w:val="000000" w:themeColor="text1"/>
                <w:sz w:val="20"/>
                <w:szCs w:val="20"/>
              </w:rPr>
              <w:t>Case Studies</w:t>
            </w:r>
          </w:p>
        </w:tc>
      </w:tr>
      <w:tr w:rsidR="00861C89" w:rsidRPr="00C02A4E" w14:paraId="5DE3F18A" w14:textId="77777777" w:rsidTr="00664E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14:paraId="4E816BDF" w14:textId="77777777" w:rsidR="00861C89" w:rsidRPr="00C02A4E" w:rsidRDefault="00861C89" w:rsidP="00861C89">
            <w:pPr>
              <w:pStyle w:val="ListParagraph"/>
              <w:numPr>
                <w:ilvl w:val="0"/>
                <w:numId w:val="19"/>
              </w:numPr>
              <w:tabs>
                <w:tab w:val="left" w:pos="284"/>
              </w:tabs>
              <w:ind w:left="284" w:hanging="284"/>
              <w:jc w:val="both"/>
              <w:rPr>
                <w:rFonts w:ascii="Times New Roman" w:hAnsi="Times New Roman" w:cs="Times New Roman"/>
                <w:b w:val="0"/>
                <w:color w:val="000000" w:themeColor="text1"/>
                <w:sz w:val="20"/>
                <w:szCs w:val="20"/>
              </w:rPr>
            </w:pPr>
            <w:r w:rsidRPr="00C02A4E">
              <w:rPr>
                <w:rFonts w:ascii="Times New Roman" w:hAnsi="Times New Roman" w:cs="Times New Roman"/>
                <w:b w:val="0"/>
                <w:color w:val="000000" w:themeColor="text1"/>
                <w:sz w:val="20"/>
                <w:szCs w:val="20"/>
              </w:rPr>
              <w:t>Studies with participants post-ACLR</w:t>
            </w:r>
          </w:p>
        </w:tc>
        <w:tc>
          <w:tcPr>
            <w:tcW w:w="5103" w:type="dxa"/>
          </w:tcPr>
          <w:p w14:paraId="56142533" w14:textId="4EAA97FC" w:rsidR="00861C89" w:rsidRPr="00C02A4E" w:rsidRDefault="00861C89" w:rsidP="00485D46">
            <w:pPr>
              <w:pStyle w:val="ListParagraph"/>
              <w:numPr>
                <w:ilvl w:val="0"/>
                <w:numId w:val="19"/>
              </w:numPr>
              <w:tabs>
                <w:tab w:val="left" w:pos="284"/>
              </w:tabs>
              <w:ind w:left="317"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02A4E">
              <w:rPr>
                <w:rFonts w:ascii="Times New Roman" w:hAnsi="Times New Roman" w:cs="Times New Roman"/>
                <w:color w:val="000000" w:themeColor="text1"/>
                <w:sz w:val="20"/>
                <w:szCs w:val="20"/>
              </w:rPr>
              <w:t xml:space="preserve">Studies with participants post-ACL repair (i.e., surgical reattachment of the ACL, instead of performing a reconstruction) </w:t>
            </w:r>
            <w:r w:rsidRPr="00C02A4E">
              <w:rPr>
                <w:rFonts w:ascii="Times New Roman" w:hAnsi="Times New Roman" w:cs="Times New Roman"/>
                <w:color w:val="000000" w:themeColor="text1"/>
                <w:sz w:val="20"/>
                <w:szCs w:val="20"/>
              </w:rPr>
              <w:fldChar w:fldCharType="begin" w:fldLock="1"/>
            </w:r>
            <w:r w:rsidR="00C02A4E" w:rsidRPr="00C02A4E">
              <w:rPr>
                <w:rFonts w:ascii="Times New Roman" w:hAnsi="Times New Roman" w:cs="Times New Roman"/>
                <w:color w:val="000000" w:themeColor="text1"/>
                <w:sz w:val="20"/>
                <w:szCs w:val="20"/>
              </w:rPr>
              <w:instrText>ADDIN CSL_CITATION {"citationItems":[{"id":"ITEM-1","itemData":{"DOI":"10.1007/s00167-018-5239-1","ISSN":"14337347","PMID":"30382289","abstract":"Purpose: The treatment of acute anterior cruciate ligament (ACL) ruptures with a repair technique has recently regained interest. A novel ACL repair technique was described using Independent Suture Tape Reinforcement with 2-year follow-up results. Methods: Forty-two consecutive patients with an acute ACL rupture undergoing repair using this technique were followed up for a minimum of 2 years. Patients with mid-substance, distal ACL ruptures, poor ACL tissue quality or retracted ACL remnants as well as patients with multi-ligament injuries were excluded. Knee Injury and Osteoarthritis Outcome Score (KOOS), Visual Analogue Pain Scale (VAS-pain), Veterans RAND 12 Item Health Survey (VR-12) and the Marx Activity scale were collected by online questionnaires. Two-year postoperative patients were asked by telephone if they had experienced a rerupture. Results: All the KOOS subscales improved significantly in comparison to the preoperative score. The largest improvement of all scores was seen at 3 months postoperatively which is significant in all cases. The KOOS sport and recreation showed a meaningful change and the largest improvement of the KOOS subscales at 3 months postoperatively, as well as the highest total improvement at 1 year postoperatively compared to preoperatively. The VAS-pain and VR-12 physical score improved significantly, however the Marx activity scale decreased significantly in comparison to preoperative scores. Two patients reported a rerupture (4.8%, CI 1.7–11.2%). Conclusions: This is the first case series that described the 2-year follow-up results of patients with an acute, proximal ACL rupture, treated with the Independent Suture Tape Reinforcement repair technique. A meaningful KOOS sport and recreation change and significant improvements in the KOOS, VAS-pain and VR-12 physical scores as well as a significant decrease of the Marx activity scale in comparison to preoperative scores are demonstrated. Two of the 42 patients (4.8%) reported an ACL rerupture. Repair with this technique could be clinically relevant as a treatment option for patients with an acute, proximal ACL rupture which is not retracted and of good tissue quality. Level of evidence: IV.","author":[{"dropping-particle":"","family":"Heusdens","given":"Christiaan H.W.","non-dropping-particle":"","parse-names":false,"suffix":""},{"dropping-particle":"","family":"Hopper","given":"Graeme P.","non-dropping-particle":"","parse-names":false,"suffix":""},{"dropping-particle":"","family":"Dossche","given":"Lieven","non-dropping-particle":"","parse-names":false,"suffix":""},{"dropping-particle":"","family":"Roelant","given":"Ella","non-dropping-particle":"","parse-names":false,"suffix":""},{"dropping-particle":"","family":"Mackay","given":"Gordon M.","non-dropping-particle":"","parse-names":false,"suffix":""}],"container-title":"Knee Surgery, Sports Traumatology, Arthroscopy","id":"ITEM-1","issue":"1","issued":{"date-parts":[["2019","1","30"]]},"page":"60-67","publisher":"Springer Verlag","title":"Anterior cruciate ligament repair with Independent Suture Tape Reinforcement: a case series with 2-year follow-up","type":"article-journal","volume":"27"},"uris":["http://www.mendeley.com/documents/?uuid=afe68baf-0ec4-3cc7-8d74-51a572060e69"]}],"mendeley":{"formattedCitation":"&lt;sup&gt;23&lt;/sup&gt;","plainTextFormattedCitation":"23","previouslyFormattedCitation":"&lt;sup&gt;23&lt;/sup&gt;"},"properties":{"noteIndex":0},"schema":"https://github.com/citation-style-language/schema/raw/master/csl-citation.json"}</w:instrText>
            </w:r>
            <w:r w:rsidRPr="00C02A4E">
              <w:rPr>
                <w:rFonts w:ascii="Times New Roman" w:hAnsi="Times New Roman" w:cs="Times New Roman"/>
                <w:color w:val="000000" w:themeColor="text1"/>
                <w:sz w:val="20"/>
                <w:szCs w:val="20"/>
              </w:rPr>
              <w:fldChar w:fldCharType="separate"/>
            </w:r>
            <w:r w:rsidR="00485D46" w:rsidRPr="00C02A4E">
              <w:rPr>
                <w:rFonts w:ascii="Times New Roman" w:hAnsi="Times New Roman" w:cs="Times New Roman"/>
                <w:noProof/>
                <w:color w:val="000000" w:themeColor="text1"/>
                <w:sz w:val="20"/>
                <w:szCs w:val="20"/>
                <w:vertAlign w:val="superscript"/>
              </w:rPr>
              <w:t>23</w:t>
            </w:r>
            <w:r w:rsidRPr="00C02A4E">
              <w:rPr>
                <w:rFonts w:ascii="Times New Roman" w:hAnsi="Times New Roman" w:cs="Times New Roman"/>
                <w:color w:val="000000" w:themeColor="text1"/>
                <w:sz w:val="20"/>
                <w:szCs w:val="20"/>
              </w:rPr>
              <w:fldChar w:fldCharType="end"/>
            </w:r>
          </w:p>
        </w:tc>
      </w:tr>
      <w:tr w:rsidR="00861C89" w:rsidRPr="00C02A4E" w14:paraId="70A32B50" w14:textId="77777777" w:rsidTr="00664E99">
        <w:tc>
          <w:tcPr>
            <w:cnfStyle w:val="001000000000" w:firstRow="0" w:lastRow="0" w:firstColumn="1" w:lastColumn="0" w:oddVBand="0" w:evenVBand="0" w:oddHBand="0" w:evenHBand="0" w:firstRowFirstColumn="0" w:firstRowLastColumn="0" w:lastRowFirstColumn="0" w:lastRowLastColumn="0"/>
            <w:tcW w:w="4219" w:type="dxa"/>
          </w:tcPr>
          <w:p w14:paraId="0CB61713" w14:textId="77777777" w:rsidR="00861C89" w:rsidRPr="00C02A4E" w:rsidRDefault="00861C89" w:rsidP="00861C89">
            <w:pPr>
              <w:pStyle w:val="ListParagraph"/>
              <w:numPr>
                <w:ilvl w:val="0"/>
                <w:numId w:val="19"/>
              </w:numPr>
              <w:tabs>
                <w:tab w:val="left" w:pos="284"/>
              </w:tabs>
              <w:ind w:left="284" w:hanging="284"/>
              <w:jc w:val="both"/>
              <w:rPr>
                <w:rFonts w:ascii="Times New Roman" w:hAnsi="Times New Roman" w:cs="Times New Roman"/>
                <w:b w:val="0"/>
                <w:color w:val="000000" w:themeColor="text1"/>
                <w:sz w:val="20"/>
                <w:szCs w:val="20"/>
              </w:rPr>
            </w:pPr>
            <w:r w:rsidRPr="00C02A4E">
              <w:rPr>
                <w:rFonts w:ascii="Times New Roman" w:hAnsi="Times New Roman" w:cs="Times New Roman"/>
                <w:b w:val="0"/>
                <w:color w:val="000000" w:themeColor="text1"/>
                <w:sz w:val="20"/>
                <w:szCs w:val="20"/>
              </w:rPr>
              <w:t>Studies with a population of primary ACLR participants</w:t>
            </w:r>
          </w:p>
        </w:tc>
        <w:tc>
          <w:tcPr>
            <w:tcW w:w="5103" w:type="dxa"/>
          </w:tcPr>
          <w:p w14:paraId="409FE282" w14:textId="77777777" w:rsidR="00861C89" w:rsidRPr="00C02A4E" w:rsidRDefault="00861C89" w:rsidP="00861C89">
            <w:pPr>
              <w:pStyle w:val="ListParagraph"/>
              <w:numPr>
                <w:ilvl w:val="0"/>
                <w:numId w:val="19"/>
              </w:numPr>
              <w:tabs>
                <w:tab w:val="left" w:pos="284"/>
              </w:tabs>
              <w:ind w:left="317"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02A4E">
              <w:rPr>
                <w:rFonts w:ascii="Times New Roman" w:hAnsi="Times New Roman" w:cs="Times New Roman"/>
                <w:color w:val="000000" w:themeColor="text1"/>
                <w:sz w:val="20"/>
                <w:szCs w:val="20"/>
              </w:rPr>
              <w:t>Studies with only secondary ACLR participants</w:t>
            </w:r>
          </w:p>
          <w:p w14:paraId="50C16E51" w14:textId="77777777" w:rsidR="00861C89" w:rsidRPr="00C02A4E" w:rsidRDefault="00861C89" w:rsidP="00861C89">
            <w:pPr>
              <w:pStyle w:val="ListParagraph"/>
              <w:numPr>
                <w:ilvl w:val="0"/>
                <w:numId w:val="19"/>
              </w:numPr>
              <w:tabs>
                <w:tab w:val="left" w:pos="284"/>
              </w:tabs>
              <w:ind w:left="317"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02A4E">
              <w:rPr>
                <w:rFonts w:ascii="Times New Roman" w:hAnsi="Times New Roman" w:cs="Times New Roman"/>
                <w:color w:val="000000" w:themeColor="text1"/>
                <w:sz w:val="20"/>
                <w:szCs w:val="20"/>
              </w:rPr>
              <w:t>Studies where participants have other significant comorbidities, including; musculoskeletal, neurologic and/or systemic disorders</w:t>
            </w:r>
          </w:p>
          <w:p w14:paraId="27B1F225" w14:textId="77777777" w:rsidR="00861C89" w:rsidRPr="00C02A4E" w:rsidRDefault="00861C89" w:rsidP="00861C89">
            <w:pPr>
              <w:pStyle w:val="ListParagraph"/>
              <w:numPr>
                <w:ilvl w:val="0"/>
                <w:numId w:val="19"/>
              </w:numPr>
              <w:tabs>
                <w:tab w:val="left" w:pos="284"/>
              </w:tabs>
              <w:ind w:left="317"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02A4E">
              <w:rPr>
                <w:rFonts w:ascii="Times New Roman" w:hAnsi="Times New Roman" w:cs="Times New Roman"/>
                <w:color w:val="000000" w:themeColor="text1"/>
                <w:sz w:val="20"/>
                <w:szCs w:val="20"/>
              </w:rPr>
              <w:t>Studies where more than 50% of the participants had meniscal procedures at the same time as the ACLR</w:t>
            </w:r>
          </w:p>
        </w:tc>
      </w:tr>
      <w:tr w:rsidR="00861C89" w:rsidRPr="00C02A4E" w14:paraId="2895666C" w14:textId="77777777" w:rsidTr="00664E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14:paraId="3EC18CE8" w14:textId="77777777" w:rsidR="00861C89" w:rsidRPr="00C02A4E" w:rsidRDefault="00861C89" w:rsidP="00861C89">
            <w:pPr>
              <w:pStyle w:val="ListParagraph"/>
              <w:numPr>
                <w:ilvl w:val="0"/>
                <w:numId w:val="19"/>
              </w:numPr>
              <w:tabs>
                <w:tab w:val="left" w:pos="284"/>
              </w:tabs>
              <w:ind w:left="284" w:hanging="284"/>
              <w:jc w:val="both"/>
              <w:rPr>
                <w:rFonts w:ascii="Times New Roman" w:hAnsi="Times New Roman" w:cs="Times New Roman"/>
                <w:b w:val="0"/>
                <w:color w:val="000000" w:themeColor="text1"/>
                <w:sz w:val="20"/>
                <w:szCs w:val="20"/>
              </w:rPr>
            </w:pPr>
            <w:r w:rsidRPr="00C02A4E">
              <w:rPr>
                <w:rFonts w:ascii="Times New Roman" w:hAnsi="Times New Roman" w:cs="Times New Roman"/>
                <w:b w:val="0"/>
                <w:color w:val="000000" w:themeColor="text1"/>
                <w:sz w:val="20"/>
                <w:szCs w:val="20"/>
              </w:rPr>
              <w:t>Studies with kinetic measurement systems outcomes</w:t>
            </w:r>
          </w:p>
        </w:tc>
        <w:tc>
          <w:tcPr>
            <w:tcW w:w="5103" w:type="dxa"/>
          </w:tcPr>
          <w:p w14:paraId="2247690A" w14:textId="77777777" w:rsidR="00861C89" w:rsidRPr="00C02A4E" w:rsidRDefault="00861C89" w:rsidP="00861C89">
            <w:pPr>
              <w:pStyle w:val="ListParagraph"/>
              <w:numPr>
                <w:ilvl w:val="0"/>
                <w:numId w:val="19"/>
              </w:numPr>
              <w:ind w:left="317" w:hanging="28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02A4E">
              <w:rPr>
                <w:rFonts w:ascii="Times New Roman" w:hAnsi="Times New Roman" w:cs="Times New Roman"/>
                <w:color w:val="000000" w:themeColor="text1"/>
                <w:sz w:val="20"/>
                <w:szCs w:val="20"/>
              </w:rPr>
              <w:t>Studies with no kinetic measurement systems outcomes. Studies that included force plates only to confirm foot contact with ground (confirmatory kinetic measurement system)</w:t>
            </w:r>
          </w:p>
        </w:tc>
      </w:tr>
      <w:tr w:rsidR="00861C89" w:rsidRPr="00C02A4E" w14:paraId="32F1AAE0" w14:textId="77777777" w:rsidTr="00F50321">
        <w:trPr>
          <w:trHeight w:val="64"/>
        </w:trPr>
        <w:tc>
          <w:tcPr>
            <w:cnfStyle w:val="001000000000" w:firstRow="0" w:lastRow="0" w:firstColumn="1" w:lastColumn="0" w:oddVBand="0" w:evenVBand="0" w:oddHBand="0" w:evenHBand="0" w:firstRowFirstColumn="0" w:firstRowLastColumn="0" w:lastRowFirstColumn="0" w:lastRowLastColumn="0"/>
            <w:tcW w:w="4219" w:type="dxa"/>
          </w:tcPr>
          <w:p w14:paraId="06870325" w14:textId="77777777" w:rsidR="00861C89" w:rsidRPr="00C02A4E" w:rsidRDefault="00861C89" w:rsidP="00861C89">
            <w:pPr>
              <w:pStyle w:val="ListParagraph"/>
              <w:numPr>
                <w:ilvl w:val="0"/>
                <w:numId w:val="19"/>
              </w:numPr>
              <w:tabs>
                <w:tab w:val="left" w:pos="284"/>
              </w:tabs>
              <w:ind w:left="284" w:hanging="284"/>
              <w:jc w:val="both"/>
              <w:rPr>
                <w:rFonts w:ascii="Times New Roman" w:hAnsi="Times New Roman" w:cs="Times New Roman"/>
                <w:b w:val="0"/>
                <w:color w:val="000000" w:themeColor="text1"/>
                <w:sz w:val="20"/>
                <w:szCs w:val="20"/>
              </w:rPr>
            </w:pPr>
            <w:r w:rsidRPr="00C02A4E">
              <w:rPr>
                <w:rFonts w:ascii="Times New Roman" w:hAnsi="Times New Roman" w:cs="Times New Roman"/>
                <w:b w:val="0"/>
                <w:color w:val="000000" w:themeColor="text1"/>
                <w:sz w:val="20"/>
                <w:szCs w:val="20"/>
              </w:rPr>
              <w:t>Only studies with extractable data of individuals who were at least 6 months following a primary ACLR (i.e., following completion of standard rehabilitation) were considered</w:t>
            </w:r>
          </w:p>
        </w:tc>
        <w:tc>
          <w:tcPr>
            <w:tcW w:w="5103" w:type="dxa"/>
          </w:tcPr>
          <w:p w14:paraId="049067FB" w14:textId="77777777" w:rsidR="00861C89" w:rsidRPr="00C02A4E" w:rsidRDefault="00861C89" w:rsidP="00861C89">
            <w:pPr>
              <w:pStyle w:val="ListParagraph"/>
              <w:numPr>
                <w:ilvl w:val="0"/>
                <w:numId w:val="19"/>
              </w:numPr>
              <w:ind w:left="317" w:hanging="28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02A4E">
              <w:rPr>
                <w:rFonts w:ascii="Times New Roman" w:hAnsi="Times New Roman" w:cs="Times New Roman"/>
                <w:color w:val="000000" w:themeColor="text1"/>
                <w:sz w:val="20"/>
                <w:szCs w:val="20"/>
              </w:rPr>
              <w:t>Reported data before 6 months post-ACLR</w:t>
            </w:r>
          </w:p>
        </w:tc>
      </w:tr>
    </w:tbl>
    <w:p w14:paraId="5DB7C766" w14:textId="77777777" w:rsidR="00861C89" w:rsidRPr="00485D46" w:rsidRDefault="00861C89" w:rsidP="005D0E2E">
      <w:pPr>
        <w:pStyle w:val="NoSpacing"/>
        <w:jc w:val="both"/>
        <w:rPr>
          <w:rFonts w:ascii="Times New Roman" w:hAnsi="Times New Roman" w:cs="Times New Roman"/>
          <w:b/>
          <w:color w:val="000000" w:themeColor="text1"/>
          <w:sz w:val="24"/>
          <w:szCs w:val="24"/>
        </w:rPr>
      </w:pPr>
    </w:p>
    <w:p w14:paraId="11EFE27A" w14:textId="4B7C75D5" w:rsidR="00F50321" w:rsidRDefault="00F50321" w:rsidP="00F50321">
      <w:pPr>
        <w:pStyle w:val="Caption"/>
        <w:keepNext/>
      </w:pPr>
      <w:r>
        <w:t xml:space="preserve">Table </w:t>
      </w:r>
      <w:fldSimple w:instr=" SEQ Table \* ARABIC ">
        <w:r>
          <w:rPr>
            <w:noProof/>
          </w:rPr>
          <w:t>3</w:t>
        </w:r>
      </w:fldSimple>
      <w:r>
        <w:t xml:space="preserve"> Definitions</w:t>
      </w:r>
    </w:p>
    <w:tbl>
      <w:tblPr>
        <w:tblStyle w:val="PlainTable12"/>
        <w:tblW w:w="9348" w:type="dxa"/>
        <w:tblLook w:val="04A0" w:firstRow="1" w:lastRow="0" w:firstColumn="1" w:lastColumn="0" w:noHBand="0" w:noVBand="1"/>
      </w:tblPr>
      <w:tblGrid>
        <w:gridCol w:w="1960"/>
        <w:gridCol w:w="7388"/>
      </w:tblGrid>
      <w:tr w:rsidR="00B7571C" w:rsidRPr="00485D46" w14:paraId="29DC71A3" w14:textId="77777777" w:rsidTr="00A7584D">
        <w:trPr>
          <w:cnfStyle w:val="100000000000" w:firstRow="1" w:lastRow="0" w:firstColumn="0" w:lastColumn="0" w:oddVBand="0" w:evenVBand="0" w:oddHBand="0"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1960" w:type="dxa"/>
          </w:tcPr>
          <w:p w14:paraId="1DA6290D" w14:textId="7B933B50" w:rsidR="00B7571C" w:rsidRPr="00485D46" w:rsidRDefault="00B7571C" w:rsidP="005D0E2E">
            <w:pPr>
              <w:tabs>
                <w:tab w:val="left" w:pos="284"/>
              </w:tabs>
              <w:jc w:val="both"/>
              <w:rPr>
                <w:b w:val="0"/>
                <w:bCs w:val="0"/>
                <w:i/>
                <w:color w:val="000000" w:themeColor="text1"/>
              </w:rPr>
            </w:pPr>
            <w:r w:rsidRPr="00485D46">
              <w:rPr>
                <w:i/>
                <w:color w:val="000000" w:themeColor="text1"/>
              </w:rPr>
              <w:t>Participants</w:t>
            </w:r>
          </w:p>
        </w:tc>
        <w:tc>
          <w:tcPr>
            <w:tcW w:w="7388" w:type="dxa"/>
          </w:tcPr>
          <w:p w14:paraId="0A819FCF" w14:textId="724EACAE" w:rsidR="00B7571C" w:rsidRPr="00485D46" w:rsidRDefault="0092139C" w:rsidP="005D0E2E">
            <w:pPr>
              <w:jc w:val="both"/>
              <w:cnfStyle w:val="100000000000" w:firstRow="1" w:lastRow="0" w:firstColumn="0" w:lastColumn="0" w:oddVBand="0" w:evenVBand="0" w:oddHBand="0" w:evenHBand="0" w:firstRowFirstColumn="0" w:firstRowLastColumn="0" w:lastRowFirstColumn="0" w:lastRowLastColumn="0"/>
              <w:rPr>
                <w:b w:val="0"/>
                <w:bCs w:val="0"/>
                <w:iCs/>
                <w:color w:val="000000" w:themeColor="text1"/>
              </w:rPr>
            </w:pPr>
            <w:r w:rsidRPr="00485D46">
              <w:rPr>
                <w:b w:val="0"/>
                <w:bCs w:val="0"/>
                <w:iCs/>
                <w:color w:val="000000" w:themeColor="text1"/>
                <w:shd w:val="clear" w:color="auto" w:fill="FFFFFF"/>
              </w:rPr>
              <w:t xml:space="preserve">Any individual </w:t>
            </w:r>
            <w:r w:rsidR="00861C89" w:rsidRPr="00485D46">
              <w:rPr>
                <w:b w:val="0"/>
                <w:bCs w:val="0"/>
                <w:iCs/>
                <w:color w:val="000000" w:themeColor="text1"/>
                <w:shd w:val="clear" w:color="auto" w:fill="FFFFFF"/>
              </w:rPr>
              <w:t xml:space="preserve">with primary ACLR </w:t>
            </w:r>
            <w:r w:rsidRPr="00485D46">
              <w:rPr>
                <w:b w:val="0"/>
                <w:bCs w:val="0"/>
                <w:iCs/>
                <w:color w:val="000000" w:themeColor="text1"/>
                <w:shd w:val="clear" w:color="auto" w:fill="FFFFFF"/>
              </w:rPr>
              <w:t xml:space="preserve">with no limitation to a specific age group, sex, or activity level. </w:t>
            </w:r>
          </w:p>
        </w:tc>
      </w:tr>
      <w:tr w:rsidR="00B7571C" w:rsidRPr="00485D46" w14:paraId="39BFD2CF" w14:textId="77777777" w:rsidTr="00A7584D">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1960" w:type="dxa"/>
          </w:tcPr>
          <w:p w14:paraId="09003EDA" w14:textId="2A4F7E97" w:rsidR="00B7571C" w:rsidRPr="00485D46" w:rsidRDefault="00B7571C" w:rsidP="005D0E2E">
            <w:pPr>
              <w:tabs>
                <w:tab w:val="left" w:pos="284"/>
              </w:tabs>
              <w:jc w:val="both"/>
              <w:rPr>
                <w:b w:val="0"/>
                <w:bCs w:val="0"/>
                <w:i/>
                <w:color w:val="000000" w:themeColor="text1"/>
              </w:rPr>
            </w:pPr>
            <w:r w:rsidRPr="00485D46">
              <w:rPr>
                <w:i/>
                <w:color w:val="000000" w:themeColor="text1"/>
              </w:rPr>
              <w:t>Primary ACLR</w:t>
            </w:r>
          </w:p>
        </w:tc>
        <w:tc>
          <w:tcPr>
            <w:tcW w:w="7388" w:type="dxa"/>
          </w:tcPr>
          <w:p w14:paraId="6977F35B" w14:textId="1AE459BF" w:rsidR="00E6003F" w:rsidRPr="00485D46" w:rsidRDefault="00E6003F" w:rsidP="00485D46">
            <w:pPr>
              <w:tabs>
                <w:tab w:val="left" w:pos="284"/>
              </w:tabs>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485D46">
              <w:rPr>
                <w:color w:val="000000" w:themeColor="text1"/>
              </w:rPr>
              <w:t xml:space="preserve">A first time </w:t>
            </w:r>
            <w:r w:rsidR="00664E99" w:rsidRPr="00485D46">
              <w:rPr>
                <w:color w:val="000000" w:themeColor="text1"/>
              </w:rPr>
              <w:t>ACLR;</w:t>
            </w:r>
            <w:r w:rsidRPr="00485D46">
              <w:rPr>
                <w:color w:val="000000" w:themeColor="text1"/>
              </w:rPr>
              <w:t xml:space="preserve"> surgical tissue graft replacement of the anterior cruciate ligament to restore its function after injury.</w:t>
            </w:r>
            <w:r w:rsidRPr="00485D46">
              <w:rPr>
                <w:color w:val="000000" w:themeColor="text1"/>
              </w:rPr>
              <w:fldChar w:fldCharType="begin" w:fldLock="1"/>
            </w:r>
            <w:r w:rsidR="00C02A4E">
              <w:rPr>
                <w:color w:val="000000" w:themeColor="text1"/>
              </w:rPr>
              <w:instrText>ADDIN CSL_CITATION {"citationItems":[{"id":"ITEM-1","itemData":{"ISBN":"9623560257","author":[{"dropping-particle":"","family":"L'Insalata","given":"J C","non-dropping-particle":"","parse-names":false,"suffix":""},{"dropping-particle":"","family":"Beim","given":"G M","non-dropping-particle":"","parse-names":false,"suffix":""},{"dropping-particle":"","family":"Fu","given":"F H","non-dropping-particle":"","parse-names":false,"suffix":""}],"container-title":"In Controversies in orthopedic sports medicine, Champaign, Ill., Human Kinetics, c2000, p.53-61.","id":"ITEM-1","issued":{"date-parts":[["2000"]]},"note":"From Duplicate 1 (Anterior cruciate ligament reconstruction - allografts - L'Insalata, J C; Beim, G M; Fu, F H)\n\nAccession Number: SPHS-660283; Author: L'Insalata, J.C. Author: Beim, G.M. Author: Fu, F.H. ; No. of Pages: 9; Language: English; Parent Item: SPHS-166294; References: 26; Publication Type: Book Analytic; Update Code: 20001101; SIRC Article No.: S-660283","publisher-place":";","title":"Anterior cruciate ligament reconstruction - allografts","type":"chapter"},"uris":["http://www.mendeley.com/documents/?uuid=fdc9b0ac-7132-4803-923c-29c347f86f15"]}],"mendeley":{"formattedCitation":"&lt;sup&gt;24&lt;/sup&gt;","plainTextFormattedCitation":"24","previouslyFormattedCitation":"&lt;sup&gt;24&lt;/sup&gt;"},"properties":{"noteIndex":0},"schema":"https://github.com/citation-style-language/schema/raw/master/csl-citation.json"}</w:instrText>
            </w:r>
            <w:r w:rsidRPr="00485D46">
              <w:rPr>
                <w:color w:val="000000" w:themeColor="text1"/>
              </w:rPr>
              <w:fldChar w:fldCharType="separate"/>
            </w:r>
            <w:r w:rsidR="00485D46" w:rsidRPr="00485D46">
              <w:rPr>
                <w:noProof/>
                <w:color w:val="000000" w:themeColor="text1"/>
                <w:vertAlign w:val="superscript"/>
              </w:rPr>
              <w:t>24</w:t>
            </w:r>
            <w:r w:rsidRPr="00485D46">
              <w:rPr>
                <w:color w:val="000000" w:themeColor="text1"/>
              </w:rPr>
              <w:fldChar w:fldCharType="end"/>
            </w:r>
            <w:r w:rsidRPr="00485D46">
              <w:rPr>
                <w:color w:val="000000" w:themeColor="text1"/>
              </w:rPr>
              <w:t xml:space="preserve"> </w:t>
            </w:r>
          </w:p>
        </w:tc>
      </w:tr>
      <w:tr w:rsidR="0016577E" w:rsidRPr="00485D46" w14:paraId="16DC1772" w14:textId="77777777" w:rsidTr="00A7584D">
        <w:trPr>
          <w:trHeight w:val="402"/>
        </w:trPr>
        <w:tc>
          <w:tcPr>
            <w:cnfStyle w:val="001000000000" w:firstRow="0" w:lastRow="0" w:firstColumn="1" w:lastColumn="0" w:oddVBand="0" w:evenVBand="0" w:oddHBand="0" w:evenHBand="0" w:firstRowFirstColumn="0" w:firstRowLastColumn="0" w:lastRowFirstColumn="0" w:lastRowLastColumn="0"/>
            <w:tcW w:w="1960" w:type="dxa"/>
          </w:tcPr>
          <w:p w14:paraId="0F07267E" w14:textId="4D5B64D5" w:rsidR="0016577E" w:rsidRPr="00485D46" w:rsidRDefault="0016577E" w:rsidP="005D0E2E">
            <w:pPr>
              <w:tabs>
                <w:tab w:val="left" w:pos="284"/>
              </w:tabs>
              <w:jc w:val="both"/>
              <w:rPr>
                <w:b w:val="0"/>
                <w:bCs w:val="0"/>
                <w:i/>
                <w:color w:val="000000" w:themeColor="text1"/>
              </w:rPr>
            </w:pPr>
            <w:r w:rsidRPr="00485D46">
              <w:rPr>
                <w:i/>
                <w:color w:val="000000" w:themeColor="text1"/>
              </w:rPr>
              <w:t>Kinetic measurement systems</w:t>
            </w:r>
          </w:p>
        </w:tc>
        <w:tc>
          <w:tcPr>
            <w:tcW w:w="7388" w:type="dxa"/>
          </w:tcPr>
          <w:p w14:paraId="205C7AB4" w14:textId="6F633F93" w:rsidR="0016577E" w:rsidRPr="00485D46" w:rsidRDefault="0016577E" w:rsidP="005D0E2E">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485D46">
              <w:rPr>
                <w:bCs/>
                <w:color w:val="000000" w:themeColor="text1"/>
              </w:rPr>
              <w:t>This review included all platforms that use similar kinetic measurement systems technologies including force plates, balance platforms, pressure platforms, force measuring treadmills, Wii balance boards, contact mats connected to jump systems (computer software or device), and single-sensor insoles.</w:t>
            </w:r>
          </w:p>
        </w:tc>
      </w:tr>
    </w:tbl>
    <w:p w14:paraId="3AF54307" w14:textId="77777777" w:rsidR="00A7584D" w:rsidRPr="00485D46" w:rsidRDefault="00A7584D" w:rsidP="005D0E2E">
      <w:pPr>
        <w:tabs>
          <w:tab w:val="left" w:pos="284"/>
        </w:tabs>
        <w:contextualSpacing/>
        <w:jc w:val="both"/>
        <w:rPr>
          <w:color w:val="000000" w:themeColor="text1"/>
        </w:rPr>
      </w:pPr>
    </w:p>
    <w:p w14:paraId="5E70C025" w14:textId="77777777" w:rsidR="00A7584D" w:rsidRPr="00485D46" w:rsidRDefault="00A7584D" w:rsidP="005D0E2E">
      <w:pPr>
        <w:tabs>
          <w:tab w:val="left" w:pos="284"/>
        </w:tabs>
        <w:contextualSpacing/>
        <w:jc w:val="both"/>
        <w:rPr>
          <w:color w:val="000000" w:themeColor="text1"/>
        </w:rPr>
      </w:pPr>
    </w:p>
    <w:p w14:paraId="237F59D3" w14:textId="0FA32073" w:rsidR="00B80253" w:rsidRPr="00485D46" w:rsidRDefault="00521C05" w:rsidP="005D0E2E">
      <w:pPr>
        <w:pStyle w:val="NoSpacing"/>
        <w:jc w:val="both"/>
        <w:rPr>
          <w:rFonts w:ascii="Times New Roman" w:hAnsi="Times New Roman" w:cs="Times New Roman"/>
          <w:b/>
          <w:color w:val="000000" w:themeColor="text1"/>
          <w:sz w:val="24"/>
          <w:szCs w:val="24"/>
        </w:rPr>
      </w:pPr>
      <w:r w:rsidRPr="00485D46">
        <w:rPr>
          <w:rFonts w:ascii="Times New Roman" w:hAnsi="Times New Roman" w:cs="Times New Roman"/>
          <w:b/>
          <w:color w:val="000000" w:themeColor="text1"/>
          <w:sz w:val="24"/>
          <w:szCs w:val="24"/>
        </w:rPr>
        <w:t xml:space="preserve">Stage 2: </w:t>
      </w:r>
      <w:r w:rsidR="00B31EE9" w:rsidRPr="00485D46">
        <w:rPr>
          <w:rFonts w:ascii="Times New Roman" w:hAnsi="Times New Roman" w:cs="Times New Roman"/>
          <w:b/>
          <w:color w:val="000000" w:themeColor="text1"/>
          <w:sz w:val="24"/>
          <w:szCs w:val="24"/>
        </w:rPr>
        <w:t xml:space="preserve">Identifying </w:t>
      </w:r>
      <w:r w:rsidR="00CD725F" w:rsidRPr="00485D46">
        <w:rPr>
          <w:rFonts w:ascii="Times New Roman" w:hAnsi="Times New Roman" w:cs="Times New Roman"/>
          <w:b/>
          <w:color w:val="000000" w:themeColor="text1"/>
          <w:sz w:val="24"/>
          <w:szCs w:val="24"/>
        </w:rPr>
        <w:t>data sources and search</w:t>
      </w:r>
    </w:p>
    <w:p w14:paraId="0BDD8C65" w14:textId="77777777" w:rsidR="00B31EE9" w:rsidRPr="00485D46" w:rsidRDefault="00B31EE9" w:rsidP="005D0E2E">
      <w:pPr>
        <w:pStyle w:val="NoSpacing"/>
        <w:jc w:val="both"/>
        <w:rPr>
          <w:rFonts w:ascii="Times New Roman" w:hAnsi="Times New Roman" w:cs="Times New Roman"/>
          <w:b/>
          <w:color w:val="000000" w:themeColor="text1"/>
          <w:sz w:val="24"/>
          <w:szCs w:val="24"/>
        </w:rPr>
      </w:pPr>
    </w:p>
    <w:p w14:paraId="5870DB80" w14:textId="15D42D1A" w:rsidR="00B80253" w:rsidRPr="00485D46" w:rsidRDefault="00B80253" w:rsidP="005D0E2E">
      <w:pPr>
        <w:pStyle w:val="NoSpacing"/>
        <w:ind w:firstLine="720"/>
        <w:jc w:val="both"/>
        <w:rPr>
          <w:rFonts w:ascii="Times New Roman" w:hAnsi="Times New Roman" w:cs="Times New Roman"/>
          <w:b/>
          <w:color w:val="000000" w:themeColor="text1"/>
          <w:sz w:val="24"/>
          <w:szCs w:val="24"/>
          <w:u w:val="single"/>
        </w:rPr>
      </w:pPr>
      <w:r w:rsidRPr="00485D46">
        <w:rPr>
          <w:rFonts w:ascii="Times New Roman" w:hAnsi="Times New Roman" w:cs="Times New Roman"/>
          <w:b/>
          <w:color w:val="000000" w:themeColor="text1"/>
          <w:sz w:val="24"/>
          <w:szCs w:val="24"/>
          <w:u w:val="single"/>
        </w:rPr>
        <w:t>Information sources</w:t>
      </w:r>
    </w:p>
    <w:p w14:paraId="0B92FFCC" w14:textId="74EFEBB1" w:rsidR="006B729B" w:rsidRPr="00485D46" w:rsidRDefault="006425E0" w:rsidP="005D0E2E">
      <w:pPr>
        <w:ind w:left="709"/>
        <w:jc w:val="both"/>
        <w:rPr>
          <w:color w:val="000000" w:themeColor="text1"/>
        </w:rPr>
      </w:pPr>
      <w:r w:rsidRPr="00485D46">
        <w:rPr>
          <w:color w:val="000000" w:themeColor="text1"/>
        </w:rPr>
        <w:t xml:space="preserve">We will identify </w:t>
      </w:r>
      <w:r w:rsidR="008D1386" w:rsidRPr="00485D46">
        <w:rPr>
          <w:color w:val="000000" w:themeColor="text1"/>
        </w:rPr>
        <w:t>potentially</w:t>
      </w:r>
      <w:r w:rsidR="00715E6A" w:rsidRPr="00485D46">
        <w:rPr>
          <w:color w:val="000000" w:themeColor="text1"/>
        </w:rPr>
        <w:t xml:space="preserve"> </w:t>
      </w:r>
      <w:r w:rsidRPr="00485D46">
        <w:rPr>
          <w:color w:val="000000" w:themeColor="text1"/>
        </w:rPr>
        <w:t>relevant studies through searching electronic databases including; MEDLIN</w:t>
      </w:r>
      <w:r w:rsidR="006B729B" w:rsidRPr="00485D46">
        <w:rPr>
          <w:color w:val="000000" w:themeColor="text1"/>
        </w:rPr>
        <w:t>E</w:t>
      </w:r>
      <w:r w:rsidR="00715E6A" w:rsidRPr="00485D46">
        <w:rPr>
          <w:color w:val="000000" w:themeColor="text1"/>
        </w:rPr>
        <w:t xml:space="preserve"> </w:t>
      </w:r>
      <w:r w:rsidR="00715E6A" w:rsidRPr="00485D46">
        <w:rPr>
          <w:color w:val="000000" w:themeColor="text1"/>
          <w:lang w:val="en-US"/>
        </w:rPr>
        <w:t>(Medical Literature Analysis and Retrieval System Online)</w:t>
      </w:r>
      <w:r w:rsidR="006B729B" w:rsidRPr="00485D46">
        <w:rPr>
          <w:color w:val="000000" w:themeColor="text1"/>
        </w:rPr>
        <w:t>, EMBASE</w:t>
      </w:r>
      <w:r w:rsidR="00715E6A" w:rsidRPr="00485D46">
        <w:rPr>
          <w:color w:val="000000" w:themeColor="text1"/>
        </w:rPr>
        <w:t xml:space="preserve"> </w:t>
      </w:r>
      <w:r w:rsidR="00715E6A" w:rsidRPr="00485D46">
        <w:rPr>
          <w:color w:val="000000" w:themeColor="text1"/>
          <w:lang w:val="en-US"/>
        </w:rPr>
        <w:t>(</w:t>
      </w:r>
      <w:proofErr w:type="spellStart"/>
      <w:r w:rsidR="00715E6A" w:rsidRPr="00485D46">
        <w:rPr>
          <w:color w:val="000000" w:themeColor="text1"/>
          <w:lang w:val="en-US"/>
        </w:rPr>
        <w:t>Excerpta</w:t>
      </w:r>
      <w:proofErr w:type="spellEnd"/>
      <w:r w:rsidR="00715E6A" w:rsidRPr="00485D46">
        <w:rPr>
          <w:color w:val="000000" w:themeColor="text1"/>
          <w:lang w:val="en-US"/>
        </w:rPr>
        <w:t xml:space="preserve"> </w:t>
      </w:r>
      <w:proofErr w:type="spellStart"/>
      <w:r w:rsidR="00715E6A" w:rsidRPr="00485D46">
        <w:rPr>
          <w:color w:val="000000" w:themeColor="text1"/>
          <w:lang w:val="en-US"/>
        </w:rPr>
        <w:t>Medica</w:t>
      </w:r>
      <w:proofErr w:type="spellEnd"/>
      <w:r w:rsidR="00715E6A" w:rsidRPr="00485D46">
        <w:rPr>
          <w:color w:val="000000" w:themeColor="text1"/>
          <w:lang w:val="en-US"/>
        </w:rPr>
        <w:t xml:space="preserve"> </w:t>
      </w:r>
      <w:proofErr w:type="spellStart"/>
      <w:r w:rsidR="00715E6A" w:rsidRPr="00485D46">
        <w:rPr>
          <w:color w:val="000000" w:themeColor="text1"/>
          <w:lang w:val="en-US"/>
        </w:rPr>
        <w:t>dataBASE</w:t>
      </w:r>
      <w:proofErr w:type="spellEnd"/>
      <w:r w:rsidR="00715E6A" w:rsidRPr="00485D46">
        <w:rPr>
          <w:color w:val="000000" w:themeColor="text1"/>
          <w:lang w:val="en-US"/>
        </w:rPr>
        <w:t>)</w:t>
      </w:r>
      <w:r w:rsidR="006B729B" w:rsidRPr="00485D46">
        <w:rPr>
          <w:color w:val="000000" w:themeColor="text1"/>
        </w:rPr>
        <w:t>, CINAHL</w:t>
      </w:r>
      <w:r w:rsidR="00715E6A" w:rsidRPr="00485D46">
        <w:rPr>
          <w:color w:val="000000" w:themeColor="text1"/>
        </w:rPr>
        <w:t xml:space="preserve"> </w:t>
      </w:r>
      <w:r w:rsidR="00715E6A" w:rsidRPr="00485D46">
        <w:rPr>
          <w:color w:val="000000" w:themeColor="text1"/>
          <w:lang w:val="en-US"/>
        </w:rPr>
        <w:t>(Cumulative Index of Nursing and Allied Health Literature)</w:t>
      </w:r>
      <w:r w:rsidR="006B729B" w:rsidRPr="00485D46">
        <w:rPr>
          <w:color w:val="000000" w:themeColor="text1"/>
        </w:rPr>
        <w:t xml:space="preserve">, </w:t>
      </w:r>
      <w:proofErr w:type="spellStart"/>
      <w:r w:rsidR="006B729B" w:rsidRPr="00485D46">
        <w:rPr>
          <w:color w:val="000000" w:themeColor="text1"/>
        </w:rPr>
        <w:t>SPORTDiscus</w:t>
      </w:r>
      <w:proofErr w:type="spellEnd"/>
      <w:r w:rsidR="00F6763F" w:rsidRPr="00485D46">
        <w:rPr>
          <w:color w:val="000000" w:themeColor="text1"/>
        </w:rPr>
        <w:t>,</w:t>
      </w:r>
      <w:r w:rsidR="006B729B" w:rsidRPr="00485D46">
        <w:rPr>
          <w:color w:val="000000" w:themeColor="text1"/>
        </w:rPr>
        <w:t xml:space="preserve"> </w:t>
      </w:r>
      <w:r w:rsidRPr="00485D46">
        <w:rPr>
          <w:color w:val="000000" w:themeColor="text1"/>
        </w:rPr>
        <w:t>Scopus</w:t>
      </w:r>
      <w:r w:rsidR="00F6763F" w:rsidRPr="00485D46">
        <w:rPr>
          <w:color w:val="000000" w:themeColor="text1"/>
        </w:rPr>
        <w:t>, Web of Science</w:t>
      </w:r>
      <w:r w:rsidR="00DE5673" w:rsidRPr="00485D46">
        <w:rPr>
          <w:color w:val="000000" w:themeColor="text1"/>
        </w:rPr>
        <w:t>,</w:t>
      </w:r>
      <w:r w:rsidR="006B729B" w:rsidRPr="00485D46">
        <w:rPr>
          <w:color w:val="000000" w:themeColor="text1"/>
        </w:rPr>
        <w:t xml:space="preserve"> and </w:t>
      </w:r>
      <w:proofErr w:type="spellStart"/>
      <w:r w:rsidR="006B729B" w:rsidRPr="00485D46">
        <w:rPr>
          <w:color w:val="000000" w:themeColor="text1"/>
        </w:rPr>
        <w:t>ProQ</w:t>
      </w:r>
      <w:r w:rsidRPr="00485D46">
        <w:rPr>
          <w:color w:val="000000" w:themeColor="text1"/>
        </w:rPr>
        <w:t>uest</w:t>
      </w:r>
      <w:proofErr w:type="spellEnd"/>
      <w:r w:rsidR="006B729B" w:rsidRPr="00485D46">
        <w:rPr>
          <w:color w:val="000000" w:themeColor="text1"/>
        </w:rPr>
        <w:t xml:space="preserve"> Dissertations and Theses Global for unpublished theses. </w:t>
      </w:r>
      <w:r w:rsidR="006C4BCD" w:rsidRPr="00485D46">
        <w:rPr>
          <w:color w:val="000000" w:themeColor="text1"/>
        </w:rPr>
        <w:t>We will search a</w:t>
      </w:r>
      <w:r w:rsidR="0016577E" w:rsidRPr="00485D46">
        <w:rPr>
          <w:color w:val="000000" w:themeColor="text1"/>
        </w:rPr>
        <w:t>ll databases since inception with no language limitations</w:t>
      </w:r>
    </w:p>
    <w:p w14:paraId="28AB8454" w14:textId="366C26F9" w:rsidR="00521C05" w:rsidRPr="00485D46" w:rsidRDefault="00B80253" w:rsidP="005D0E2E">
      <w:pPr>
        <w:pStyle w:val="NoSpacing"/>
        <w:jc w:val="both"/>
        <w:rPr>
          <w:rFonts w:ascii="Times New Roman" w:hAnsi="Times New Roman" w:cs="Times New Roman"/>
          <w:b/>
          <w:color w:val="000000" w:themeColor="text1"/>
          <w:sz w:val="24"/>
          <w:szCs w:val="24"/>
        </w:rPr>
      </w:pPr>
      <w:r w:rsidRPr="00485D46">
        <w:rPr>
          <w:rFonts w:ascii="Times New Roman" w:hAnsi="Times New Roman" w:cs="Times New Roman"/>
          <w:b/>
          <w:color w:val="000000" w:themeColor="text1"/>
          <w:sz w:val="24"/>
          <w:szCs w:val="24"/>
        </w:rPr>
        <w:tab/>
      </w:r>
      <w:r w:rsidR="00B31EE9" w:rsidRPr="00485D46">
        <w:rPr>
          <w:rFonts w:ascii="Times New Roman" w:hAnsi="Times New Roman" w:cs="Times New Roman"/>
          <w:b/>
          <w:color w:val="000000" w:themeColor="text1"/>
          <w:sz w:val="24"/>
          <w:szCs w:val="24"/>
        </w:rPr>
        <w:tab/>
      </w:r>
    </w:p>
    <w:p w14:paraId="699AFBD2" w14:textId="57004B7A" w:rsidR="00B80253" w:rsidRPr="00485D46" w:rsidRDefault="00B31EE9" w:rsidP="005D0E2E">
      <w:pPr>
        <w:pStyle w:val="NoSpacing"/>
        <w:ind w:firstLine="720"/>
        <w:jc w:val="both"/>
        <w:rPr>
          <w:rFonts w:ascii="Times New Roman" w:hAnsi="Times New Roman" w:cs="Times New Roman"/>
          <w:b/>
          <w:color w:val="000000" w:themeColor="text1"/>
          <w:sz w:val="24"/>
          <w:szCs w:val="24"/>
          <w:u w:val="single"/>
        </w:rPr>
      </w:pPr>
      <w:r w:rsidRPr="00485D46">
        <w:rPr>
          <w:rFonts w:ascii="Times New Roman" w:hAnsi="Times New Roman" w:cs="Times New Roman"/>
          <w:b/>
          <w:color w:val="000000" w:themeColor="text1"/>
          <w:sz w:val="24"/>
          <w:szCs w:val="24"/>
          <w:u w:val="single"/>
        </w:rPr>
        <w:t>Search strategy</w:t>
      </w:r>
    </w:p>
    <w:p w14:paraId="28CD7DC5" w14:textId="3BEAA5B5" w:rsidR="00B80253" w:rsidRPr="00485D46" w:rsidRDefault="00F17D74" w:rsidP="005D0E2E">
      <w:pPr>
        <w:pStyle w:val="NoSpacing"/>
        <w:ind w:left="709"/>
        <w:jc w:val="both"/>
        <w:rPr>
          <w:rFonts w:ascii="Times New Roman" w:hAnsi="Times New Roman" w:cs="Times New Roman"/>
          <w:color w:val="000000" w:themeColor="text1"/>
          <w:sz w:val="24"/>
          <w:szCs w:val="24"/>
        </w:rPr>
      </w:pPr>
      <w:r w:rsidRPr="00485D46">
        <w:rPr>
          <w:rFonts w:ascii="Times New Roman" w:hAnsi="Times New Roman" w:cs="Times New Roman"/>
          <w:b/>
          <w:color w:val="000000" w:themeColor="text1"/>
          <w:sz w:val="24"/>
          <w:szCs w:val="24"/>
        </w:rPr>
        <w:tab/>
      </w:r>
      <w:r w:rsidRPr="00485D46">
        <w:rPr>
          <w:rFonts w:ascii="Times New Roman" w:hAnsi="Times New Roman" w:cs="Times New Roman"/>
          <w:color w:val="000000" w:themeColor="text1"/>
          <w:sz w:val="24"/>
          <w:szCs w:val="24"/>
        </w:rPr>
        <w:t xml:space="preserve">We will determine </w:t>
      </w:r>
      <w:r w:rsidR="00F30117" w:rsidRPr="00485D46">
        <w:rPr>
          <w:rFonts w:ascii="Times New Roman" w:hAnsi="Times New Roman" w:cs="Times New Roman"/>
          <w:color w:val="000000" w:themeColor="text1"/>
          <w:sz w:val="24"/>
          <w:szCs w:val="24"/>
        </w:rPr>
        <w:t xml:space="preserve">and refine </w:t>
      </w:r>
      <w:r w:rsidRPr="00485D46">
        <w:rPr>
          <w:rFonts w:ascii="Times New Roman" w:hAnsi="Times New Roman" w:cs="Times New Roman"/>
          <w:color w:val="000000" w:themeColor="text1"/>
          <w:sz w:val="24"/>
          <w:szCs w:val="24"/>
        </w:rPr>
        <w:t>search terms through an iterative process with inputs from the study team, knowledge users</w:t>
      </w:r>
      <w:r w:rsidR="00DE5673" w:rsidRPr="00485D46">
        <w:rPr>
          <w:rFonts w:ascii="Times New Roman" w:hAnsi="Times New Roman" w:cs="Times New Roman"/>
          <w:color w:val="000000" w:themeColor="text1"/>
          <w:sz w:val="24"/>
          <w:szCs w:val="24"/>
        </w:rPr>
        <w:t>,</w:t>
      </w:r>
      <w:r w:rsidRPr="00485D46">
        <w:rPr>
          <w:rFonts w:ascii="Times New Roman" w:hAnsi="Times New Roman" w:cs="Times New Roman"/>
          <w:color w:val="000000" w:themeColor="text1"/>
          <w:sz w:val="24"/>
          <w:szCs w:val="24"/>
        </w:rPr>
        <w:t xml:space="preserve"> and research collaborators</w:t>
      </w:r>
      <w:r w:rsidR="00DE5673" w:rsidRPr="00485D46">
        <w:rPr>
          <w:rFonts w:ascii="Times New Roman" w:hAnsi="Times New Roman" w:cs="Times New Roman"/>
          <w:color w:val="000000" w:themeColor="text1"/>
          <w:sz w:val="24"/>
          <w:szCs w:val="24"/>
        </w:rPr>
        <w:t>.</w:t>
      </w:r>
      <w:r w:rsidR="00B44773" w:rsidRPr="00485D46">
        <w:rPr>
          <w:rFonts w:ascii="Times New Roman" w:hAnsi="Times New Roman" w:cs="Times New Roman"/>
          <w:color w:val="000000" w:themeColor="text1"/>
          <w:sz w:val="24"/>
          <w:szCs w:val="24"/>
        </w:rPr>
        <w:fldChar w:fldCharType="begin" w:fldLock="1"/>
      </w:r>
      <w:r w:rsidR="00C02A4E">
        <w:rPr>
          <w:rFonts w:ascii="Times New Roman" w:hAnsi="Times New Roman" w:cs="Times New Roman"/>
          <w:color w:val="000000" w:themeColor="text1"/>
          <w:sz w:val="24"/>
          <w:szCs w:val="24"/>
        </w:rPr>
        <w:instrText>ADDIN CSL_CITATION {"citationItems":[{"id":"ITEM-1","itemData":{"DOI":"10.1080/1364557032000119616","ISSN":"1364-5579","abstract":"This paper focuses on scoping studies, an approach to reviewing the literature which to date has received little attention in the research methods literature. We distinguish between different types of scoping studies and indicate where these stand in relation to full systematic reviews. We outline a framework for conducting a scoping study based on our recent experiences of reviewing the literature on services for carers for people with mental health problems. Where appropriate, our approach to scoping the field is contrasted with the procedures followed in systematic reviews. We emphasize how including a consultation exercise in this sort of study may enhance the results, making them more useful to policy makers, practitioners and service users. Finally, we consider the advantages and limitations of the approach and suggest that a wider debate is called for about the role of the scoping study in relation to other types of literature reviews.","author":[{"dropping-particle":"","family":"Arksey","given":"Hilary","non-dropping-particle":"","parse-names":false,"suffix":""},{"dropping-particle":"","family":"O'Malley","given":"Lisa","non-dropping-particle":"","parse-names":false,"suffix":""}],"container-title":"International Journal of Social Research Methodology","id":"ITEM-1","issue":"1","issued":{"date-parts":[["2005","2"]]},"page":"19-32","publisher":" Taylor and Francis Group Ltd ","title":"Scoping studies: towards a methodological framework","type":"article-journal","volume":"8"},"uris":["http://www.mendeley.com/documents/?uuid=355dc0ff-31a2-38bf-a007-521bd70a93ef"]},{"id":"ITEM-2","itemData":{"DOI":"10.1186/1748-5908-5-69","ISSN":"1748-5908","PMID":"20854677","abstract":"BACKGROUND Scoping studies are an increasingly popular approach to reviewing health research evidence. In 2005, Arksey and O'Malley published the first methodological framework for conducting scoping studies. While this framework provides an excellent foundation for scoping study methodology, further clarifying and enhancing this framework will help support the consistency with which authors undertake and report scoping studies and may encourage researchers and clinicians to engage in this process. DISCUSSION We build upon our experiences conducting three scoping studies using the Arksey and O'Malley methodology to propose recommendations that clarify and enhance each stage of the framework. Recommendations include: clarifying and linking the purpose and research question (stage one); balancing feasibility with breadth and comprehensiveness of the scoping process (stage two); using an iterative team approach to selecting studies (stage three) and extracting data (stage four); incorporating a numerical summary and qualitative thematic analysis, reporting results, and considering the implications of study findings to policy, practice, or research (stage five); and incorporating consultation with stakeholders as a required knowledge translation component of scoping study methodology (stage six). Lastly, we propose additional considerations for scoping study methodology in order to support the advancement, application and relevance of scoping studies in health research. SUMMARY Specific recommendations to clarify and enhance this methodology are outlined for each stage of the Arksey and O'Malley framework. Continued debate and development about scoping study methodology will help to maximize the usefulness and rigor of scoping study findings within healthcare research and practice.","author":[{"dropping-particle":"","family":"Levac","given":"Danielle","non-dropping-particle":"","parse-names":false,"suffix":""},{"dropping-particle":"","family":"Colquhoun","given":"Heather","non-dropping-particle":"","parse-names":false,"suffix":""},{"dropping-particle":"","family":"O'Brien","given":"Kelly K","non-dropping-particle":"","parse-names":false,"suffix":""}],"container-title":"Implementation Science","id":"ITEM-2","issue":"1","issued":{"date-parts":[["2010","12","20"]]},"page":"69","title":"Scoping studies: advancing the methodology","type":"article-journal","volume":"5"},"uris":["http://www.mendeley.com/documents/?uuid=1a1a92e3-7dc0-315b-bfff-106759a80318"]}],"mendeley":{"formattedCitation":"&lt;sup&gt;18,19&lt;/sup&gt;","plainTextFormattedCitation":"18,19","previouslyFormattedCitation":"&lt;sup&gt;18,19&lt;/sup&gt;"},"properties":{"noteIndex":0},"schema":"https://github.com/citation-style-language/schema/raw/master/csl-citation.json"}</w:instrText>
      </w:r>
      <w:r w:rsidR="00B44773" w:rsidRPr="00485D46">
        <w:rPr>
          <w:rFonts w:ascii="Times New Roman" w:hAnsi="Times New Roman" w:cs="Times New Roman"/>
          <w:color w:val="000000" w:themeColor="text1"/>
          <w:sz w:val="24"/>
          <w:szCs w:val="24"/>
        </w:rPr>
        <w:fldChar w:fldCharType="separate"/>
      </w:r>
      <w:r w:rsidR="00485D46" w:rsidRPr="00485D46">
        <w:rPr>
          <w:rFonts w:ascii="Times New Roman" w:hAnsi="Times New Roman" w:cs="Times New Roman"/>
          <w:noProof/>
          <w:color w:val="000000" w:themeColor="text1"/>
          <w:sz w:val="24"/>
          <w:szCs w:val="24"/>
          <w:vertAlign w:val="superscript"/>
        </w:rPr>
        <w:t>18,19</w:t>
      </w:r>
      <w:r w:rsidR="00B44773" w:rsidRPr="00485D46">
        <w:rPr>
          <w:rFonts w:ascii="Times New Roman" w:hAnsi="Times New Roman" w:cs="Times New Roman"/>
          <w:color w:val="000000" w:themeColor="text1"/>
          <w:sz w:val="24"/>
          <w:szCs w:val="24"/>
        </w:rPr>
        <w:fldChar w:fldCharType="end"/>
      </w:r>
      <w:r w:rsidRPr="00485D46">
        <w:rPr>
          <w:rFonts w:ascii="Times New Roman" w:hAnsi="Times New Roman" w:cs="Times New Roman"/>
          <w:color w:val="000000" w:themeColor="text1"/>
          <w:sz w:val="24"/>
          <w:szCs w:val="24"/>
        </w:rPr>
        <w:t xml:space="preserve"> The search strategy will be developed in consultation with an experience</w:t>
      </w:r>
      <w:r w:rsidR="006C4BCD" w:rsidRPr="00485D46">
        <w:rPr>
          <w:rFonts w:ascii="Times New Roman" w:hAnsi="Times New Roman" w:cs="Times New Roman"/>
          <w:color w:val="000000" w:themeColor="text1"/>
          <w:sz w:val="24"/>
          <w:szCs w:val="24"/>
        </w:rPr>
        <w:t>d</w:t>
      </w:r>
      <w:r w:rsidRPr="00485D46">
        <w:rPr>
          <w:rFonts w:ascii="Times New Roman" w:hAnsi="Times New Roman" w:cs="Times New Roman"/>
          <w:color w:val="000000" w:themeColor="text1"/>
          <w:sz w:val="24"/>
          <w:szCs w:val="24"/>
        </w:rPr>
        <w:t xml:space="preserve"> librarian scientist (LD)</w:t>
      </w:r>
      <w:r w:rsidR="006C4BCD" w:rsidRPr="00485D46">
        <w:rPr>
          <w:rFonts w:ascii="Times New Roman" w:hAnsi="Times New Roman" w:cs="Times New Roman"/>
          <w:color w:val="000000" w:themeColor="text1"/>
          <w:sz w:val="24"/>
          <w:szCs w:val="24"/>
        </w:rPr>
        <w:t xml:space="preserve">. It </w:t>
      </w:r>
      <w:r w:rsidRPr="00485D46">
        <w:rPr>
          <w:rFonts w:ascii="Times New Roman" w:hAnsi="Times New Roman" w:cs="Times New Roman"/>
          <w:color w:val="000000" w:themeColor="text1"/>
          <w:sz w:val="24"/>
          <w:szCs w:val="24"/>
        </w:rPr>
        <w:t xml:space="preserve">will be revised according to </w:t>
      </w:r>
      <w:r w:rsidR="005C60DE" w:rsidRPr="00485D46">
        <w:rPr>
          <w:rFonts w:ascii="Times New Roman" w:hAnsi="Times New Roman" w:cs="Times New Roman"/>
          <w:color w:val="000000" w:themeColor="text1"/>
          <w:sz w:val="24"/>
          <w:szCs w:val="24"/>
        </w:rPr>
        <w:t xml:space="preserve">meetings outputs with the study team and stakeholders to </w:t>
      </w:r>
      <w:r w:rsidR="00DE5673" w:rsidRPr="00485D46">
        <w:rPr>
          <w:rFonts w:ascii="Times New Roman" w:hAnsi="Times New Roman" w:cs="Times New Roman"/>
          <w:color w:val="000000" w:themeColor="text1"/>
          <w:sz w:val="24"/>
          <w:szCs w:val="24"/>
        </w:rPr>
        <w:t xml:space="preserve">ensure </w:t>
      </w:r>
      <w:r w:rsidR="005C60DE" w:rsidRPr="00485D46">
        <w:rPr>
          <w:rFonts w:ascii="Times New Roman" w:hAnsi="Times New Roman" w:cs="Times New Roman"/>
          <w:color w:val="000000" w:themeColor="text1"/>
          <w:sz w:val="24"/>
          <w:szCs w:val="24"/>
        </w:rPr>
        <w:t>relevant records will be captured</w:t>
      </w:r>
      <w:r w:rsidRPr="00485D46">
        <w:rPr>
          <w:rFonts w:ascii="Times New Roman" w:hAnsi="Times New Roman" w:cs="Times New Roman"/>
          <w:color w:val="000000" w:themeColor="text1"/>
          <w:sz w:val="24"/>
          <w:szCs w:val="24"/>
        </w:rPr>
        <w:t xml:space="preserve">. </w:t>
      </w:r>
      <w:r w:rsidR="00B44773" w:rsidRPr="00485D46">
        <w:rPr>
          <w:rFonts w:ascii="Times New Roman" w:hAnsi="Times New Roman" w:cs="Times New Roman"/>
          <w:color w:val="000000" w:themeColor="text1"/>
          <w:sz w:val="24"/>
          <w:szCs w:val="24"/>
        </w:rPr>
        <w:t xml:space="preserve">The search terms will combine keywords and subject headings </w:t>
      </w:r>
      <w:r w:rsidR="00437C78" w:rsidRPr="00485D46">
        <w:rPr>
          <w:rFonts w:ascii="Times New Roman" w:hAnsi="Times New Roman" w:cs="Times New Roman"/>
          <w:color w:val="000000" w:themeColor="text1"/>
          <w:sz w:val="24"/>
          <w:szCs w:val="24"/>
        </w:rPr>
        <w:t>(</w:t>
      </w:r>
      <w:proofErr w:type="spellStart"/>
      <w:r w:rsidR="00437C78" w:rsidRPr="00485D46">
        <w:rPr>
          <w:rFonts w:ascii="Times New Roman" w:hAnsi="Times New Roman" w:cs="Times New Roman"/>
          <w:color w:val="000000" w:themeColor="text1"/>
          <w:sz w:val="24"/>
          <w:szCs w:val="24"/>
        </w:rPr>
        <w:t>MeSH</w:t>
      </w:r>
      <w:proofErr w:type="spellEnd"/>
      <w:r w:rsidR="00437C78" w:rsidRPr="00485D46">
        <w:rPr>
          <w:rFonts w:ascii="Times New Roman" w:hAnsi="Times New Roman" w:cs="Times New Roman"/>
          <w:color w:val="000000" w:themeColor="text1"/>
          <w:sz w:val="24"/>
          <w:szCs w:val="24"/>
        </w:rPr>
        <w:t>)</w:t>
      </w:r>
      <w:r w:rsidR="005C60DE" w:rsidRPr="00485D46">
        <w:rPr>
          <w:rFonts w:ascii="Times New Roman" w:hAnsi="Times New Roman" w:cs="Times New Roman"/>
          <w:color w:val="000000" w:themeColor="text1"/>
          <w:sz w:val="24"/>
          <w:szCs w:val="24"/>
        </w:rPr>
        <w:t xml:space="preserve"> </w:t>
      </w:r>
      <w:r w:rsidR="00F30117" w:rsidRPr="00485D46">
        <w:rPr>
          <w:rFonts w:ascii="Times New Roman" w:hAnsi="Times New Roman" w:cs="Times New Roman"/>
          <w:color w:val="000000" w:themeColor="text1"/>
          <w:sz w:val="24"/>
          <w:szCs w:val="24"/>
        </w:rPr>
        <w:t>that have emerged in this research field</w:t>
      </w:r>
      <w:r w:rsidR="00DE5673" w:rsidRPr="00485D46">
        <w:rPr>
          <w:rFonts w:ascii="Times New Roman" w:hAnsi="Times New Roman" w:cs="Times New Roman"/>
          <w:color w:val="000000" w:themeColor="text1"/>
          <w:sz w:val="24"/>
          <w:szCs w:val="24"/>
        </w:rPr>
        <w:t>,</w:t>
      </w:r>
      <w:r w:rsidR="00437C78" w:rsidRPr="00485D46">
        <w:rPr>
          <w:rFonts w:ascii="Times New Roman" w:hAnsi="Times New Roman" w:cs="Times New Roman"/>
          <w:color w:val="000000" w:themeColor="text1"/>
          <w:sz w:val="24"/>
          <w:szCs w:val="24"/>
        </w:rPr>
        <w:t xml:space="preserve"> </w:t>
      </w:r>
      <w:r w:rsidR="00B44773" w:rsidRPr="00485D46">
        <w:rPr>
          <w:rFonts w:ascii="Times New Roman" w:hAnsi="Times New Roman" w:cs="Times New Roman"/>
          <w:color w:val="000000" w:themeColor="text1"/>
          <w:sz w:val="24"/>
          <w:szCs w:val="24"/>
        </w:rPr>
        <w:t xml:space="preserve">as </w:t>
      </w:r>
      <w:r w:rsidR="008D1386" w:rsidRPr="00485D46">
        <w:rPr>
          <w:rFonts w:ascii="Times New Roman" w:hAnsi="Times New Roman" w:cs="Times New Roman"/>
          <w:color w:val="000000" w:themeColor="text1"/>
          <w:sz w:val="24"/>
          <w:szCs w:val="24"/>
        </w:rPr>
        <w:t>appropriate</w:t>
      </w:r>
      <w:r w:rsidR="00B44773" w:rsidRPr="00485D46">
        <w:rPr>
          <w:rFonts w:ascii="Times New Roman" w:hAnsi="Times New Roman" w:cs="Times New Roman"/>
          <w:color w:val="000000" w:themeColor="text1"/>
          <w:sz w:val="24"/>
          <w:szCs w:val="24"/>
        </w:rPr>
        <w:t xml:space="preserve">. </w:t>
      </w:r>
      <w:r w:rsidR="00F6763F" w:rsidRPr="00485D46">
        <w:rPr>
          <w:rFonts w:ascii="Times New Roman" w:hAnsi="Times New Roman" w:cs="Times New Roman"/>
          <w:color w:val="000000" w:themeColor="text1"/>
          <w:sz w:val="24"/>
          <w:szCs w:val="24"/>
        </w:rPr>
        <w:t>(Appendix 1)</w:t>
      </w:r>
    </w:p>
    <w:p w14:paraId="22216FFE" w14:textId="77777777" w:rsidR="00F17D74" w:rsidRPr="00485D46" w:rsidRDefault="00F17D74" w:rsidP="005D0E2E">
      <w:pPr>
        <w:pStyle w:val="NoSpacing"/>
        <w:jc w:val="both"/>
        <w:rPr>
          <w:rFonts w:ascii="Times New Roman" w:hAnsi="Times New Roman" w:cs="Times New Roman"/>
          <w:b/>
          <w:color w:val="000000" w:themeColor="text1"/>
          <w:sz w:val="24"/>
          <w:szCs w:val="24"/>
        </w:rPr>
      </w:pPr>
    </w:p>
    <w:p w14:paraId="22ADB95B" w14:textId="7D281EA1" w:rsidR="00B31EE9" w:rsidRPr="00485D46" w:rsidRDefault="00521C05" w:rsidP="005D0E2E">
      <w:pPr>
        <w:pStyle w:val="NoSpacing"/>
        <w:jc w:val="both"/>
        <w:rPr>
          <w:rFonts w:ascii="Times New Roman" w:hAnsi="Times New Roman" w:cs="Times New Roman"/>
          <w:b/>
          <w:color w:val="000000" w:themeColor="text1"/>
          <w:sz w:val="24"/>
          <w:szCs w:val="24"/>
        </w:rPr>
      </w:pPr>
      <w:r w:rsidRPr="00485D46">
        <w:rPr>
          <w:rFonts w:ascii="Times New Roman" w:hAnsi="Times New Roman" w:cs="Times New Roman"/>
          <w:b/>
          <w:color w:val="000000" w:themeColor="text1"/>
          <w:sz w:val="24"/>
          <w:szCs w:val="24"/>
        </w:rPr>
        <w:t xml:space="preserve">Stage 3: </w:t>
      </w:r>
      <w:r w:rsidR="00F30117" w:rsidRPr="00485D46">
        <w:rPr>
          <w:rFonts w:ascii="Times New Roman" w:hAnsi="Times New Roman" w:cs="Times New Roman"/>
          <w:b/>
          <w:color w:val="000000" w:themeColor="text1"/>
          <w:sz w:val="24"/>
          <w:szCs w:val="24"/>
        </w:rPr>
        <w:t>Record screening and s</w:t>
      </w:r>
      <w:r w:rsidR="00B31EE9" w:rsidRPr="00485D46">
        <w:rPr>
          <w:rFonts w:ascii="Times New Roman" w:hAnsi="Times New Roman" w:cs="Times New Roman"/>
          <w:b/>
          <w:color w:val="000000" w:themeColor="text1"/>
          <w:sz w:val="24"/>
          <w:szCs w:val="24"/>
        </w:rPr>
        <w:t>tudy selection</w:t>
      </w:r>
    </w:p>
    <w:p w14:paraId="0A98391D" w14:textId="77777777" w:rsidR="005A3833" w:rsidRPr="00485D46" w:rsidRDefault="005A3833" w:rsidP="005D0E2E">
      <w:pPr>
        <w:ind w:left="709"/>
        <w:jc w:val="both"/>
        <w:rPr>
          <w:b/>
          <w:color w:val="000000" w:themeColor="text1"/>
        </w:rPr>
      </w:pPr>
    </w:p>
    <w:p w14:paraId="2ED90BC2" w14:textId="58C3ACDE" w:rsidR="00F93112" w:rsidRPr="00485D46" w:rsidRDefault="00F30117" w:rsidP="00B576DA">
      <w:pPr>
        <w:ind w:left="709"/>
        <w:jc w:val="both"/>
        <w:rPr>
          <w:color w:val="000000" w:themeColor="text1"/>
          <w:lang w:val="en-US"/>
        </w:rPr>
      </w:pPr>
      <w:r w:rsidRPr="00485D46">
        <w:rPr>
          <w:b/>
          <w:color w:val="000000" w:themeColor="text1"/>
        </w:rPr>
        <w:tab/>
      </w:r>
      <w:r w:rsidR="006774E7" w:rsidRPr="00485D46">
        <w:rPr>
          <w:color w:val="000000" w:themeColor="text1"/>
          <w:lang w:val="en-US"/>
        </w:rPr>
        <w:t>D</w:t>
      </w:r>
      <w:r w:rsidRPr="00485D46">
        <w:rPr>
          <w:color w:val="000000" w:themeColor="text1"/>
          <w:lang w:val="en-US"/>
        </w:rPr>
        <w:t xml:space="preserve">atabase search results </w:t>
      </w:r>
      <w:r w:rsidR="006774E7" w:rsidRPr="00485D46">
        <w:rPr>
          <w:color w:val="000000" w:themeColor="text1"/>
          <w:lang w:val="en-US"/>
        </w:rPr>
        <w:t>will be</w:t>
      </w:r>
      <w:r w:rsidRPr="00485D46">
        <w:rPr>
          <w:color w:val="000000" w:themeColor="text1"/>
          <w:lang w:val="en-US"/>
        </w:rPr>
        <w:t xml:space="preserve"> exported into </w:t>
      </w:r>
      <w:proofErr w:type="gramStart"/>
      <w:r w:rsidR="00B576DA" w:rsidRPr="00485D46">
        <w:rPr>
          <w:color w:val="000000" w:themeColor="text1"/>
          <w:lang w:val="en-US"/>
        </w:rPr>
        <w:t>a reference</w:t>
      </w:r>
      <w:proofErr w:type="gramEnd"/>
      <w:r w:rsidR="00B576DA" w:rsidRPr="00485D46">
        <w:rPr>
          <w:color w:val="000000" w:themeColor="text1"/>
          <w:lang w:val="en-US"/>
        </w:rPr>
        <w:t xml:space="preserve"> management software EndNote X9.3.3</w:t>
      </w:r>
      <w:r w:rsidR="00DE5673" w:rsidRPr="00485D46">
        <w:rPr>
          <w:color w:val="000000" w:themeColor="text1"/>
          <w:lang w:val="en-US"/>
        </w:rPr>
        <w:t>.</w:t>
      </w:r>
      <w:r w:rsidRPr="00485D46">
        <w:rPr>
          <w:color w:val="000000" w:themeColor="text1"/>
          <w:lang w:val="en-US"/>
        </w:rPr>
        <w:t xml:space="preserve"> </w:t>
      </w:r>
      <w:r w:rsidR="00DE5673" w:rsidRPr="00485D46">
        <w:rPr>
          <w:color w:val="000000" w:themeColor="text1"/>
          <w:lang w:val="en-US"/>
        </w:rPr>
        <w:t>D</w:t>
      </w:r>
      <w:r w:rsidRPr="00485D46">
        <w:rPr>
          <w:color w:val="000000" w:themeColor="text1"/>
          <w:lang w:val="en-US"/>
        </w:rPr>
        <w:t xml:space="preserve">uplicates </w:t>
      </w:r>
      <w:r w:rsidR="006774E7" w:rsidRPr="00485D46">
        <w:rPr>
          <w:color w:val="000000" w:themeColor="text1"/>
          <w:lang w:val="en-US"/>
        </w:rPr>
        <w:t>will be removed</w:t>
      </w:r>
      <w:r w:rsidR="00B576DA" w:rsidRPr="00485D46">
        <w:rPr>
          <w:color w:val="000000" w:themeColor="text1"/>
          <w:lang w:val="en-US"/>
        </w:rPr>
        <w:t>.</w:t>
      </w:r>
      <w:r w:rsidR="00B576DA" w:rsidRPr="00485D46">
        <w:rPr>
          <w:color w:val="000000" w:themeColor="text1"/>
          <w:lang w:val="en-US"/>
        </w:rPr>
        <w:fldChar w:fldCharType="begin" w:fldLock="1"/>
      </w:r>
      <w:r w:rsidR="00C02A4E">
        <w:rPr>
          <w:color w:val="000000" w:themeColor="text1"/>
          <w:lang w:val="en-US"/>
        </w:rPr>
        <w:instrText>ADDIN CSL_CITATION {"citationItems":[{"id":"ITEM-1","itemData":{"DOI":"10.3163/1536-5050.104.3.014","ISSN":"15589439","author":[{"dropping-particle":"","family":"Bramer","given":"Wichor M.","non-dropping-particle":"","parse-names":false,"suffix":""},{"dropping-particle":"","family":"Giustini","given":"Dean","non-dropping-particle":"","parse-names":false,"suffix":""},{"dropping-particle":"","family":"Jong","given":"Gerdien B.","non-dropping-particle":"De","parse-names":false,"suffix":""},{"dropping-particle":"","family":"Holland","given":"Leslie","non-dropping-particle":"","parse-names":false,"suffix":""},{"dropping-particle":"","family":"Bekhuis","given":"Tanja","non-dropping-particle":"","parse-names":false,"suffix":""}],"container-title":"Journal of the Medical Library Association","id":"ITEM-1","issue":"3","issued":{"date-parts":[["2016","7","1"]]},"page":"240-243","publisher":"Medical Library Association","title":"De-duplication of database search results for systematic reviews in endnote","type":"article-journal","volume":"104"},"uris":["http://www.mendeley.com/documents/?uuid=b4daceea-2938-3491-a83f-c3f501166042"]}],"mendeley":{"formattedCitation":"&lt;sup&gt;25&lt;/sup&gt;","plainTextFormattedCitation":"25","previouslyFormattedCitation":"&lt;sup&gt;25&lt;/sup&gt;"},"properties":{"noteIndex":0},"schema":"https://github.com/citation-style-language/schema/raw/master/csl-citation.json"}</w:instrText>
      </w:r>
      <w:r w:rsidR="00B576DA" w:rsidRPr="00485D46">
        <w:rPr>
          <w:color w:val="000000" w:themeColor="text1"/>
          <w:lang w:val="en-US"/>
        </w:rPr>
        <w:fldChar w:fldCharType="separate"/>
      </w:r>
      <w:r w:rsidR="00485D46" w:rsidRPr="00485D46">
        <w:rPr>
          <w:noProof/>
          <w:color w:val="000000" w:themeColor="text1"/>
          <w:vertAlign w:val="superscript"/>
          <w:lang w:val="en-US"/>
        </w:rPr>
        <w:t>25</w:t>
      </w:r>
      <w:r w:rsidR="00B576DA" w:rsidRPr="00485D46">
        <w:rPr>
          <w:color w:val="000000" w:themeColor="text1"/>
          <w:lang w:val="en-US"/>
        </w:rPr>
        <w:fldChar w:fldCharType="end"/>
      </w:r>
      <w:r w:rsidRPr="00485D46">
        <w:rPr>
          <w:color w:val="000000" w:themeColor="text1"/>
          <w:lang w:val="en-US"/>
        </w:rPr>
        <w:t xml:space="preserve"> The titles and corresponding abstracts of remaining records </w:t>
      </w:r>
      <w:r w:rsidR="006774E7" w:rsidRPr="00485D46">
        <w:rPr>
          <w:color w:val="000000" w:themeColor="text1"/>
          <w:lang w:val="en-US"/>
        </w:rPr>
        <w:t>will be</w:t>
      </w:r>
      <w:r w:rsidRPr="00485D46">
        <w:rPr>
          <w:color w:val="000000" w:themeColor="text1"/>
          <w:lang w:val="en-US"/>
        </w:rPr>
        <w:t xml:space="preserve"> independently reviewed by two raters blinded to author(s) and journal title </w:t>
      </w:r>
      <w:r w:rsidRPr="00485D46">
        <w:rPr>
          <w:color w:val="000000" w:themeColor="text1"/>
          <w:lang w:val="en-US"/>
        </w:rPr>
        <w:lastRenderedPageBreak/>
        <w:t xml:space="preserve">using </w:t>
      </w:r>
      <w:proofErr w:type="spellStart"/>
      <w:r w:rsidR="00091BF3" w:rsidRPr="00485D46">
        <w:rPr>
          <w:color w:val="000000" w:themeColor="text1"/>
          <w:lang w:val="en-US"/>
        </w:rPr>
        <w:t>Covidence</w:t>
      </w:r>
      <w:proofErr w:type="spellEnd"/>
      <w:r w:rsidR="00091BF3" w:rsidRPr="00485D46">
        <w:rPr>
          <w:color w:val="000000" w:themeColor="text1"/>
          <w:lang w:val="en-US"/>
        </w:rPr>
        <w:t xml:space="preserve"> (</w:t>
      </w:r>
      <w:proofErr w:type="spellStart"/>
      <w:r w:rsidR="00091BF3" w:rsidRPr="00485D46">
        <w:rPr>
          <w:color w:val="000000" w:themeColor="text1"/>
          <w:lang w:val="en-US"/>
        </w:rPr>
        <w:t>Veritas</w:t>
      </w:r>
      <w:proofErr w:type="spellEnd"/>
      <w:r w:rsidR="00091BF3" w:rsidRPr="00485D46">
        <w:rPr>
          <w:color w:val="000000" w:themeColor="text1"/>
          <w:lang w:val="en-US"/>
        </w:rPr>
        <w:t xml:space="preserve"> Health Innovation, Melbourne, Australia; available at </w:t>
      </w:r>
      <w:hyperlink r:id="rId7" w:history="1">
        <w:r w:rsidR="00B576DA" w:rsidRPr="00485D46">
          <w:rPr>
            <w:rStyle w:val="Hyperlink"/>
            <w:lang w:val="en-US"/>
          </w:rPr>
          <w:t>www.covidence.org</w:t>
        </w:r>
      </w:hyperlink>
      <w:r w:rsidR="00091BF3" w:rsidRPr="00485D46">
        <w:rPr>
          <w:color w:val="000000" w:themeColor="text1"/>
          <w:lang w:val="en-US"/>
        </w:rPr>
        <w:t>)</w:t>
      </w:r>
      <w:r w:rsidR="00B576DA" w:rsidRPr="00485D46">
        <w:rPr>
          <w:color w:val="000000" w:themeColor="text1"/>
          <w:lang w:val="en-US"/>
        </w:rPr>
        <w:t xml:space="preserve">. </w:t>
      </w:r>
      <w:r w:rsidR="00DE5673" w:rsidRPr="00485D46">
        <w:rPr>
          <w:color w:val="000000" w:themeColor="text1"/>
          <w:lang w:val="en-US"/>
        </w:rPr>
        <w:t xml:space="preserve">Prior to </w:t>
      </w:r>
      <w:r w:rsidRPr="00485D46">
        <w:rPr>
          <w:color w:val="000000" w:themeColor="text1"/>
          <w:lang w:val="en-US"/>
        </w:rPr>
        <w:t xml:space="preserve">the title and abstract reviews, </w:t>
      </w:r>
      <w:r w:rsidR="00B576DA" w:rsidRPr="00485D46">
        <w:rPr>
          <w:color w:val="000000" w:themeColor="text1"/>
          <w:lang w:val="en-US"/>
        </w:rPr>
        <w:t>raters</w:t>
      </w:r>
      <w:r w:rsidRPr="00485D46">
        <w:rPr>
          <w:color w:val="000000" w:themeColor="text1"/>
          <w:lang w:val="en-US"/>
        </w:rPr>
        <w:t xml:space="preserve"> </w:t>
      </w:r>
      <w:r w:rsidR="006774E7" w:rsidRPr="00485D46">
        <w:rPr>
          <w:color w:val="000000" w:themeColor="text1"/>
          <w:lang w:val="en-US"/>
        </w:rPr>
        <w:t>will independently screen</w:t>
      </w:r>
      <w:r w:rsidRPr="00485D46">
        <w:rPr>
          <w:color w:val="000000" w:themeColor="text1"/>
          <w:lang w:val="en-US"/>
        </w:rPr>
        <w:t xml:space="preserve"> a random sample of </w:t>
      </w:r>
      <w:r w:rsidR="00B576DA" w:rsidRPr="00485D46">
        <w:rPr>
          <w:color w:val="000000" w:themeColor="text1"/>
          <w:lang w:val="en-US"/>
        </w:rPr>
        <w:t xml:space="preserve">100 </w:t>
      </w:r>
      <w:r w:rsidRPr="00485D46">
        <w:rPr>
          <w:color w:val="000000" w:themeColor="text1"/>
          <w:lang w:val="en-US"/>
        </w:rPr>
        <w:t xml:space="preserve">titles and abstracts to assess the applicability of the exclusion criteria and to determine the </w:t>
      </w:r>
      <w:r w:rsidR="006774E7" w:rsidRPr="00485D46">
        <w:rPr>
          <w:color w:val="000000" w:themeColor="text1"/>
          <w:lang w:val="en-US"/>
        </w:rPr>
        <w:t xml:space="preserve">Cohen Kappa score and </w:t>
      </w:r>
      <w:r w:rsidRPr="00485D46">
        <w:rPr>
          <w:color w:val="000000" w:themeColor="text1"/>
          <w:lang w:val="en-US"/>
        </w:rPr>
        <w:t xml:space="preserve">inter-rater agreement with the </w:t>
      </w:r>
      <w:r w:rsidR="006774E7" w:rsidRPr="00485D46">
        <w:rPr>
          <w:color w:val="000000" w:themeColor="text1"/>
          <w:lang w:val="en-US"/>
        </w:rPr>
        <w:t>first author (WL</w:t>
      </w:r>
      <w:r w:rsidRPr="00485D46">
        <w:rPr>
          <w:color w:val="000000" w:themeColor="text1"/>
          <w:lang w:val="en-US"/>
        </w:rPr>
        <w:t>)</w:t>
      </w:r>
      <w:r w:rsidR="00B576DA" w:rsidRPr="00485D46">
        <w:rPr>
          <w:color w:val="000000" w:themeColor="text1"/>
          <w:lang w:val="en-US"/>
        </w:rPr>
        <w:t xml:space="preserve"> using a Microsoft® Excel workbook explicitly designed for screening.</w:t>
      </w:r>
      <w:r w:rsidR="00B576DA" w:rsidRPr="00485D46">
        <w:rPr>
          <w:color w:val="000000" w:themeColor="text1"/>
          <w:lang w:val="en-US"/>
        </w:rPr>
        <w:fldChar w:fldCharType="begin" w:fldLock="1"/>
      </w:r>
      <w:r w:rsidR="00C02A4E">
        <w:rPr>
          <w:color w:val="000000" w:themeColor="text1"/>
          <w:lang w:val="en-US"/>
        </w:rPr>
        <w:instrText>ADDIN CSL_CITATION {"citationItems":[{"id":"ITEM-1","itemData":{"URL":"http://libguides.sph.uth.tmc.edu/excel_workbook_home","accessed":{"date-parts":[["2016","1","1"]]},"author":[{"dropping-particle":"","family":"VonVille","given":"HM","non-dropping-particle":"","parse-names":false,"suffix":""}],"id":"ITEM-1","issued":{"date-parts":[["2015"]]},"title":"Excel Workbooks for Systematic Reviews","type":"webpage"},"uris":["http://www.mendeley.com/documents/?uuid=f36bdf5d-b4d4-4e39-b50d-5d20468f93e4"]}],"mendeley":{"formattedCitation":"&lt;sup&gt;26&lt;/sup&gt;","plainTextFormattedCitation":"26","previouslyFormattedCitation":"&lt;sup&gt;26&lt;/sup&gt;"},"properties":{"noteIndex":0},"schema":"https://github.com/citation-style-language/schema/raw/master/csl-citation.json"}</w:instrText>
      </w:r>
      <w:r w:rsidR="00B576DA" w:rsidRPr="00485D46">
        <w:rPr>
          <w:color w:val="000000" w:themeColor="text1"/>
          <w:lang w:val="en-US"/>
        </w:rPr>
        <w:fldChar w:fldCharType="separate"/>
      </w:r>
      <w:r w:rsidR="00485D46" w:rsidRPr="00485D46">
        <w:rPr>
          <w:noProof/>
          <w:color w:val="000000" w:themeColor="text1"/>
          <w:vertAlign w:val="superscript"/>
          <w:lang w:val="en-US"/>
        </w:rPr>
        <w:t>26</w:t>
      </w:r>
      <w:r w:rsidR="00B576DA" w:rsidRPr="00485D46">
        <w:rPr>
          <w:color w:val="000000" w:themeColor="text1"/>
          <w:lang w:val="en-US"/>
        </w:rPr>
        <w:fldChar w:fldCharType="end"/>
      </w:r>
      <w:r w:rsidRPr="00485D46">
        <w:rPr>
          <w:color w:val="000000" w:themeColor="text1"/>
          <w:lang w:val="en-US"/>
        </w:rPr>
        <w:t xml:space="preserve"> </w:t>
      </w:r>
      <w:r w:rsidR="006774E7" w:rsidRPr="00485D46">
        <w:rPr>
          <w:color w:val="000000" w:themeColor="text1"/>
          <w:lang w:val="en-US"/>
        </w:rPr>
        <w:t>Based on the pilot screening, t</w:t>
      </w:r>
      <w:r w:rsidRPr="00485D46">
        <w:rPr>
          <w:color w:val="000000" w:themeColor="text1"/>
          <w:lang w:val="en-US"/>
        </w:rPr>
        <w:t xml:space="preserve">he study team </w:t>
      </w:r>
      <w:r w:rsidR="006774E7" w:rsidRPr="00485D46">
        <w:rPr>
          <w:color w:val="000000" w:themeColor="text1"/>
          <w:lang w:val="en-US"/>
        </w:rPr>
        <w:t xml:space="preserve">will meet to </w:t>
      </w:r>
      <w:r w:rsidRPr="00485D46">
        <w:rPr>
          <w:color w:val="000000" w:themeColor="text1"/>
          <w:lang w:val="en-US"/>
        </w:rPr>
        <w:t xml:space="preserve">further clarify </w:t>
      </w:r>
      <w:r w:rsidR="00141FE8" w:rsidRPr="00485D46">
        <w:rPr>
          <w:color w:val="000000" w:themeColor="text1"/>
          <w:lang w:val="en-US"/>
        </w:rPr>
        <w:t xml:space="preserve">the </w:t>
      </w:r>
      <w:r w:rsidRPr="00485D46">
        <w:rPr>
          <w:color w:val="000000" w:themeColor="text1"/>
          <w:lang w:val="en-US"/>
        </w:rPr>
        <w:t xml:space="preserve">exclusion criteria </w:t>
      </w:r>
      <w:r w:rsidR="00141FE8" w:rsidRPr="00485D46">
        <w:rPr>
          <w:color w:val="000000" w:themeColor="text1"/>
          <w:lang w:val="en-US"/>
        </w:rPr>
        <w:t>before</w:t>
      </w:r>
      <w:r w:rsidRPr="00485D46">
        <w:rPr>
          <w:color w:val="000000" w:themeColor="text1"/>
          <w:lang w:val="en-US"/>
        </w:rPr>
        <w:t xml:space="preserve"> commencing</w:t>
      </w:r>
      <w:r w:rsidR="00DE5673" w:rsidRPr="00485D46">
        <w:rPr>
          <w:color w:val="000000" w:themeColor="text1"/>
          <w:lang w:val="en-US"/>
        </w:rPr>
        <w:t xml:space="preserve"> </w:t>
      </w:r>
      <w:r w:rsidRPr="00485D46">
        <w:rPr>
          <w:color w:val="000000" w:themeColor="text1"/>
          <w:lang w:val="en-US"/>
        </w:rPr>
        <w:t xml:space="preserve">title and abstract screening. Finally, two independent raters </w:t>
      </w:r>
      <w:r w:rsidR="00185AB5" w:rsidRPr="00485D46">
        <w:rPr>
          <w:color w:val="000000" w:themeColor="text1"/>
          <w:lang w:val="en-US"/>
        </w:rPr>
        <w:t>will perform</w:t>
      </w:r>
      <w:r w:rsidRPr="00485D46">
        <w:rPr>
          <w:color w:val="000000" w:themeColor="text1"/>
          <w:lang w:val="en-US"/>
        </w:rPr>
        <w:t xml:space="preserve"> </w:t>
      </w:r>
      <w:r w:rsidR="00141FE8" w:rsidRPr="00485D46">
        <w:rPr>
          <w:color w:val="000000" w:themeColor="text1"/>
          <w:lang w:val="en-US"/>
        </w:rPr>
        <w:t xml:space="preserve">the </w:t>
      </w:r>
      <w:r w:rsidRPr="00485D46">
        <w:rPr>
          <w:color w:val="000000" w:themeColor="text1"/>
          <w:lang w:val="en-US"/>
        </w:rPr>
        <w:t xml:space="preserve">full-text review to determine final study selection. </w:t>
      </w:r>
      <w:r w:rsidR="00F93112" w:rsidRPr="00485D46">
        <w:rPr>
          <w:color w:val="000000" w:themeColor="text1"/>
          <w:lang w:val="en-US"/>
        </w:rPr>
        <w:t>Any further disagreement on study eligibility during the title and abstract screening and the full</w:t>
      </w:r>
      <w:r w:rsidR="00141FE8" w:rsidRPr="00485D46">
        <w:rPr>
          <w:color w:val="000000" w:themeColor="text1"/>
          <w:lang w:val="en-US"/>
        </w:rPr>
        <w:t>-</w:t>
      </w:r>
      <w:r w:rsidR="00F93112" w:rsidRPr="00485D46">
        <w:rPr>
          <w:color w:val="000000" w:themeColor="text1"/>
          <w:lang w:val="en-US"/>
        </w:rPr>
        <w:t xml:space="preserve">text review stages will be resolved through discussion between the two reviewers, and a third reviewer will be approached if </w:t>
      </w:r>
      <w:r w:rsidR="00B51C42" w:rsidRPr="00485D46">
        <w:rPr>
          <w:color w:val="000000" w:themeColor="text1"/>
          <w:lang w:val="en-US"/>
        </w:rPr>
        <w:t>necessary,</w:t>
      </w:r>
      <w:r w:rsidR="00F93112" w:rsidRPr="00485D46">
        <w:rPr>
          <w:color w:val="000000" w:themeColor="text1"/>
          <w:lang w:val="en-US"/>
        </w:rPr>
        <w:t xml:space="preserve"> until </w:t>
      </w:r>
      <w:r w:rsidR="00141FE8" w:rsidRPr="00485D46">
        <w:rPr>
          <w:color w:val="000000" w:themeColor="text1"/>
          <w:lang w:val="en-US"/>
        </w:rPr>
        <w:t xml:space="preserve">a </w:t>
      </w:r>
      <w:r w:rsidR="00F93112" w:rsidRPr="00485D46">
        <w:rPr>
          <w:color w:val="000000" w:themeColor="text1"/>
          <w:lang w:val="en-US"/>
        </w:rPr>
        <w:t xml:space="preserve">consensus is reached. </w:t>
      </w:r>
      <w:r w:rsidR="001D3E23" w:rsidRPr="00485D46">
        <w:rPr>
          <w:color w:val="000000" w:themeColor="text1"/>
          <w:lang w:val="en-US"/>
        </w:rPr>
        <w:t xml:space="preserve">The results of the search will be reported in full in the final review report and will be presented in </w:t>
      </w:r>
      <w:r w:rsidR="00141FE8" w:rsidRPr="00485D46">
        <w:rPr>
          <w:color w:val="000000" w:themeColor="text1"/>
          <w:lang w:val="en-US"/>
        </w:rPr>
        <w:t xml:space="preserve">the </w:t>
      </w:r>
      <w:r w:rsidR="001D3E23" w:rsidRPr="00485D46">
        <w:rPr>
          <w:color w:val="000000" w:themeColor="text1"/>
          <w:lang w:val="en-US"/>
        </w:rPr>
        <w:t xml:space="preserve">PRISMA flowchart. </w:t>
      </w:r>
    </w:p>
    <w:p w14:paraId="68C5638F" w14:textId="77777777" w:rsidR="00F93112" w:rsidRPr="00485D46" w:rsidRDefault="00F93112" w:rsidP="005D0E2E">
      <w:pPr>
        <w:ind w:left="709"/>
        <w:jc w:val="both"/>
        <w:rPr>
          <w:color w:val="000000" w:themeColor="text1"/>
          <w:lang w:val="en-US"/>
        </w:rPr>
      </w:pPr>
    </w:p>
    <w:p w14:paraId="2DAB2EBE" w14:textId="03194283" w:rsidR="00B80253" w:rsidRPr="00485D46" w:rsidRDefault="00521C05" w:rsidP="005D0E2E">
      <w:pPr>
        <w:pStyle w:val="NoSpacing"/>
        <w:jc w:val="both"/>
        <w:rPr>
          <w:rFonts w:ascii="Times New Roman" w:hAnsi="Times New Roman" w:cs="Times New Roman"/>
          <w:b/>
          <w:color w:val="000000" w:themeColor="text1"/>
          <w:sz w:val="24"/>
          <w:szCs w:val="24"/>
        </w:rPr>
      </w:pPr>
      <w:r w:rsidRPr="00485D46">
        <w:rPr>
          <w:rFonts w:ascii="Times New Roman" w:hAnsi="Times New Roman" w:cs="Times New Roman"/>
          <w:b/>
          <w:color w:val="000000" w:themeColor="text1"/>
          <w:sz w:val="24"/>
          <w:szCs w:val="24"/>
        </w:rPr>
        <w:t xml:space="preserve">Stage 4: </w:t>
      </w:r>
      <w:r w:rsidR="00B80253" w:rsidRPr="00485D46">
        <w:rPr>
          <w:rFonts w:ascii="Times New Roman" w:hAnsi="Times New Roman" w:cs="Times New Roman"/>
          <w:b/>
          <w:color w:val="000000" w:themeColor="text1"/>
          <w:sz w:val="24"/>
          <w:szCs w:val="24"/>
        </w:rPr>
        <w:t xml:space="preserve">Data </w:t>
      </w:r>
      <w:r w:rsidR="00CD725F" w:rsidRPr="00485D46">
        <w:rPr>
          <w:rFonts w:ascii="Times New Roman" w:hAnsi="Times New Roman" w:cs="Times New Roman"/>
          <w:b/>
          <w:color w:val="000000" w:themeColor="text1"/>
          <w:sz w:val="24"/>
          <w:szCs w:val="24"/>
        </w:rPr>
        <w:t>Charting</w:t>
      </w:r>
    </w:p>
    <w:p w14:paraId="6E5EA6C3" w14:textId="440D2B55" w:rsidR="00B80253" w:rsidRPr="00485D46" w:rsidRDefault="00B80253" w:rsidP="005D0E2E">
      <w:pPr>
        <w:jc w:val="both"/>
        <w:rPr>
          <w:color w:val="000000" w:themeColor="text1"/>
          <w:lang w:val="en-US"/>
        </w:rPr>
      </w:pPr>
    </w:p>
    <w:p w14:paraId="1589D1DA" w14:textId="222789E7" w:rsidR="0012443D" w:rsidRPr="00485D46" w:rsidRDefault="00D83E33" w:rsidP="005D0E2E">
      <w:pPr>
        <w:widowControl w:val="0"/>
        <w:autoSpaceDE w:val="0"/>
        <w:autoSpaceDN w:val="0"/>
        <w:adjustRightInd w:val="0"/>
        <w:ind w:left="709"/>
        <w:jc w:val="both"/>
        <w:rPr>
          <w:rFonts w:eastAsiaTheme="minorHAnsi"/>
          <w:color w:val="000000" w:themeColor="text1"/>
          <w:lang w:val="en-US"/>
        </w:rPr>
      </w:pPr>
      <w:r w:rsidRPr="00485D46">
        <w:rPr>
          <w:rFonts w:eastAsiaTheme="minorHAnsi"/>
          <w:color w:val="000000" w:themeColor="text1"/>
          <w:lang w:val="en-US"/>
        </w:rPr>
        <w:t xml:space="preserve">In consultation with the study team members, the </w:t>
      </w:r>
      <w:r w:rsidR="00141FE8" w:rsidRPr="00485D46">
        <w:rPr>
          <w:rFonts w:eastAsiaTheme="minorHAnsi"/>
          <w:color w:val="000000" w:themeColor="text1"/>
          <w:lang w:val="en-US"/>
        </w:rPr>
        <w:t>primary</w:t>
      </w:r>
      <w:r w:rsidRPr="00485D46">
        <w:rPr>
          <w:rFonts w:eastAsiaTheme="minorHAnsi"/>
          <w:color w:val="000000" w:themeColor="text1"/>
          <w:lang w:val="en-US"/>
        </w:rPr>
        <w:t xml:space="preserve"> author (WL) will develop a data collection </w:t>
      </w:r>
      <w:proofErr w:type="spellStart"/>
      <w:r w:rsidR="0012443D" w:rsidRPr="00485D46">
        <w:rPr>
          <w:rFonts w:eastAsiaTheme="minorHAnsi"/>
          <w:color w:val="000000" w:themeColor="text1"/>
          <w:lang w:val="en-US"/>
        </w:rPr>
        <w:t>templet</w:t>
      </w:r>
      <w:proofErr w:type="spellEnd"/>
      <w:r w:rsidR="0012443D" w:rsidRPr="00485D46">
        <w:rPr>
          <w:rFonts w:eastAsiaTheme="minorHAnsi"/>
          <w:color w:val="000000" w:themeColor="text1"/>
          <w:lang w:val="en-US"/>
        </w:rPr>
        <w:t xml:space="preserve"> using </w:t>
      </w:r>
      <w:proofErr w:type="spellStart"/>
      <w:r w:rsidR="0012443D" w:rsidRPr="00485D46">
        <w:rPr>
          <w:rFonts w:eastAsiaTheme="minorHAnsi"/>
          <w:color w:val="000000" w:themeColor="text1"/>
          <w:lang w:val="en-US"/>
        </w:rPr>
        <w:t>Covidence</w:t>
      </w:r>
      <w:proofErr w:type="spellEnd"/>
      <w:r w:rsidRPr="00485D46">
        <w:rPr>
          <w:rFonts w:eastAsiaTheme="minorHAnsi"/>
          <w:color w:val="000000" w:themeColor="text1"/>
          <w:lang w:val="en-US"/>
        </w:rPr>
        <w:t xml:space="preserve">. Data items to be extracted are summarized in (Table 4). The </w:t>
      </w:r>
      <w:r w:rsidR="00141FE8" w:rsidRPr="00485D46">
        <w:rPr>
          <w:rFonts w:eastAsiaTheme="minorHAnsi"/>
          <w:color w:val="000000" w:themeColor="text1"/>
          <w:lang w:val="en-US"/>
        </w:rPr>
        <w:t xml:space="preserve">study team will review the </w:t>
      </w:r>
      <w:r w:rsidRPr="00485D46">
        <w:rPr>
          <w:rFonts w:eastAsiaTheme="minorHAnsi"/>
          <w:color w:val="000000" w:themeColor="text1"/>
          <w:lang w:val="en-US"/>
        </w:rPr>
        <w:t>instrument</w:t>
      </w:r>
      <w:r w:rsidR="00141FE8" w:rsidRPr="00485D46">
        <w:rPr>
          <w:rFonts w:eastAsiaTheme="minorHAnsi"/>
          <w:color w:val="000000" w:themeColor="text1"/>
          <w:lang w:val="en-US"/>
        </w:rPr>
        <w:t>. It</w:t>
      </w:r>
      <w:r w:rsidRPr="00485D46">
        <w:rPr>
          <w:rFonts w:eastAsiaTheme="minorHAnsi"/>
          <w:color w:val="000000" w:themeColor="text1"/>
          <w:lang w:val="en-US"/>
        </w:rPr>
        <w:t xml:space="preserve"> will be pretested by two independent reviewers on a pilot of </w:t>
      </w:r>
      <w:r w:rsidR="0016577E" w:rsidRPr="00485D46">
        <w:rPr>
          <w:rFonts w:eastAsiaTheme="minorHAnsi"/>
          <w:color w:val="000000" w:themeColor="text1"/>
          <w:lang w:val="en-US"/>
        </w:rPr>
        <w:t>10</w:t>
      </w:r>
      <w:r w:rsidRPr="00485D46">
        <w:rPr>
          <w:rFonts w:eastAsiaTheme="minorHAnsi"/>
          <w:color w:val="000000" w:themeColor="text1"/>
          <w:lang w:val="en-US"/>
        </w:rPr>
        <w:t xml:space="preserve"> studies to </w:t>
      </w:r>
      <w:r w:rsidR="00141FE8" w:rsidRPr="00485D46">
        <w:rPr>
          <w:rFonts w:eastAsiaTheme="minorHAnsi"/>
          <w:color w:val="000000" w:themeColor="text1"/>
          <w:lang w:val="en-US"/>
        </w:rPr>
        <w:t>e</w:t>
      </w:r>
      <w:r w:rsidRPr="00485D46">
        <w:rPr>
          <w:rFonts w:eastAsiaTheme="minorHAnsi"/>
          <w:color w:val="000000" w:themeColor="text1"/>
          <w:lang w:val="en-US"/>
        </w:rPr>
        <w:t xml:space="preserve">nsure the tool is capturing the information accurately. Two reviewers will independently </w:t>
      </w:r>
      <w:r w:rsidR="0016577E" w:rsidRPr="00485D46">
        <w:rPr>
          <w:rFonts w:eastAsiaTheme="minorHAnsi"/>
          <w:color w:val="000000" w:themeColor="text1"/>
          <w:lang w:val="en-US"/>
        </w:rPr>
        <w:t>extract data</w:t>
      </w:r>
      <w:r w:rsidRPr="00485D46">
        <w:rPr>
          <w:rFonts w:eastAsiaTheme="minorHAnsi"/>
          <w:color w:val="000000" w:themeColor="text1"/>
          <w:lang w:val="en-US"/>
        </w:rPr>
        <w:t xml:space="preserve"> in duplicate. To </w:t>
      </w:r>
      <w:r w:rsidR="00141FE8" w:rsidRPr="00485D46">
        <w:rPr>
          <w:rFonts w:eastAsiaTheme="minorHAnsi"/>
          <w:color w:val="000000" w:themeColor="text1"/>
          <w:lang w:val="en-US"/>
        </w:rPr>
        <w:t>e</w:t>
      </w:r>
      <w:r w:rsidRPr="00485D46">
        <w:rPr>
          <w:rFonts w:eastAsiaTheme="minorHAnsi"/>
          <w:color w:val="000000" w:themeColor="text1"/>
          <w:lang w:val="en-US"/>
        </w:rPr>
        <w:t xml:space="preserve">nsure accurate data </w:t>
      </w:r>
      <w:r w:rsidR="002D44E0" w:rsidRPr="00485D46">
        <w:rPr>
          <w:rFonts w:eastAsiaTheme="minorHAnsi"/>
          <w:color w:val="000000" w:themeColor="text1"/>
          <w:lang w:val="en-US"/>
        </w:rPr>
        <w:t xml:space="preserve">extraction, each of the two forms will be compared for </w:t>
      </w:r>
      <w:r w:rsidR="008D1386" w:rsidRPr="00485D46">
        <w:rPr>
          <w:rFonts w:eastAsiaTheme="minorHAnsi"/>
          <w:color w:val="000000" w:themeColor="text1"/>
          <w:lang w:val="en-US"/>
        </w:rPr>
        <w:t>discrepancies and</w:t>
      </w:r>
      <w:r w:rsidR="002D44E0" w:rsidRPr="00485D46">
        <w:rPr>
          <w:rFonts w:eastAsiaTheme="minorHAnsi"/>
          <w:color w:val="000000" w:themeColor="text1"/>
          <w:lang w:val="en-US"/>
        </w:rPr>
        <w:t xml:space="preserve"> will be further discussed until consensus is reached. A third reviewer will be consulted if needed. The data will be extracted using a </w:t>
      </w:r>
      <w:r w:rsidR="00055E0A" w:rsidRPr="00485D46">
        <w:rPr>
          <w:rFonts w:eastAsiaTheme="minorHAnsi"/>
          <w:color w:val="000000" w:themeColor="text1"/>
          <w:lang w:val="en-US"/>
        </w:rPr>
        <w:t>Google Sheet</w:t>
      </w:r>
    </w:p>
    <w:p w14:paraId="6BBAF133" w14:textId="77777777" w:rsidR="0012443D" w:rsidRPr="00485D46" w:rsidRDefault="0012443D" w:rsidP="005D0E2E">
      <w:pPr>
        <w:widowControl w:val="0"/>
        <w:autoSpaceDE w:val="0"/>
        <w:autoSpaceDN w:val="0"/>
        <w:adjustRightInd w:val="0"/>
        <w:ind w:left="709"/>
        <w:jc w:val="both"/>
        <w:rPr>
          <w:rFonts w:eastAsiaTheme="minorHAnsi"/>
          <w:color w:val="000000" w:themeColor="text1"/>
          <w:lang w:val="en-US"/>
        </w:rPr>
      </w:pPr>
    </w:p>
    <w:p w14:paraId="1EB1AF3A" w14:textId="6DCC0235" w:rsidR="002D44E0" w:rsidRPr="00485D46" w:rsidRDefault="0012443D" w:rsidP="0012443D">
      <w:pPr>
        <w:widowControl w:val="0"/>
        <w:autoSpaceDE w:val="0"/>
        <w:autoSpaceDN w:val="0"/>
        <w:adjustRightInd w:val="0"/>
        <w:ind w:left="709"/>
        <w:jc w:val="both"/>
        <w:rPr>
          <w:color w:val="000000" w:themeColor="text1"/>
          <w:lang w:val="en-US"/>
        </w:rPr>
      </w:pPr>
      <w:r w:rsidRPr="00485D46">
        <w:rPr>
          <w:rFonts w:eastAsiaTheme="minorHAnsi"/>
          <w:color w:val="000000" w:themeColor="text1"/>
          <w:lang w:val="en-US"/>
        </w:rPr>
        <w:t xml:space="preserve">A decision regarding quality appraisal of the included studies will be made following full text reviewing and will be dependent upon the quantity and type of literature identified. </w:t>
      </w:r>
    </w:p>
    <w:p w14:paraId="5CAAEFC2" w14:textId="77777777" w:rsidR="005D475A" w:rsidRPr="00485D46" w:rsidRDefault="005D475A" w:rsidP="005D0E2E">
      <w:pPr>
        <w:pStyle w:val="NoSpacing"/>
        <w:jc w:val="both"/>
        <w:rPr>
          <w:rFonts w:ascii="Times New Roman" w:hAnsi="Times New Roman" w:cs="Times New Roman"/>
          <w:b/>
          <w:color w:val="000000" w:themeColor="text1"/>
          <w:sz w:val="24"/>
          <w:szCs w:val="24"/>
        </w:rPr>
      </w:pPr>
    </w:p>
    <w:p w14:paraId="24BCC2B0" w14:textId="00C14EEA" w:rsidR="005D475A" w:rsidRPr="00485D46" w:rsidRDefault="005D475A" w:rsidP="005D0E2E">
      <w:pPr>
        <w:jc w:val="both"/>
        <w:rPr>
          <w:color w:val="000000" w:themeColor="text1"/>
          <w:lang w:val="en-US"/>
        </w:rPr>
      </w:pPr>
    </w:p>
    <w:p w14:paraId="578BBDB7" w14:textId="042DE5AC" w:rsidR="00F50321" w:rsidRDefault="00F50321" w:rsidP="00F50321">
      <w:pPr>
        <w:pStyle w:val="Caption"/>
        <w:keepNext/>
      </w:pPr>
      <w:r>
        <w:t xml:space="preserve">Table </w:t>
      </w:r>
      <w:fldSimple w:instr=" SEQ Table \* ARABIC ">
        <w:r>
          <w:rPr>
            <w:noProof/>
          </w:rPr>
          <w:t>4</w:t>
        </w:r>
      </w:fldSimple>
      <w:r>
        <w:t xml:space="preserve"> Data Items</w:t>
      </w:r>
    </w:p>
    <w:tbl>
      <w:tblPr>
        <w:tblStyle w:val="PlainTable12"/>
        <w:tblW w:w="0" w:type="auto"/>
        <w:tblLook w:val="04A0" w:firstRow="1" w:lastRow="0" w:firstColumn="1" w:lastColumn="0" w:noHBand="0" w:noVBand="1"/>
      </w:tblPr>
      <w:tblGrid>
        <w:gridCol w:w="2689"/>
        <w:gridCol w:w="6661"/>
      </w:tblGrid>
      <w:tr w:rsidR="005D475A" w:rsidRPr="00485D46" w14:paraId="6451B22C" w14:textId="77777777" w:rsidTr="005D47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C152D8D" w14:textId="77777777" w:rsidR="005D475A" w:rsidRPr="00485D46" w:rsidRDefault="005D475A" w:rsidP="005D0E2E">
            <w:pPr>
              <w:jc w:val="both"/>
              <w:rPr>
                <w:color w:val="000000" w:themeColor="text1"/>
                <w:lang w:val="en-US"/>
              </w:rPr>
            </w:pPr>
            <w:r w:rsidRPr="00485D46">
              <w:rPr>
                <w:color w:val="000000" w:themeColor="text1"/>
                <w:lang w:val="en-US"/>
              </w:rPr>
              <w:t>Category</w:t>
            </w:r>
          </w:p>
        </w:tc>
        <w:tc>
          <w:tcPr>
            <w:tcW w:w="6661" w:type="dxa"/>
          </w:tcPr>
          <w:p w14:paraId="13815976" w14:textId="77777777" w:rsidR="005D475A" w:rsidRPr="00485D46" w:rsidRDefault="005D475A" w:rsidP="005D0E2E">
            <w:pPr>
              <w:jc w:val="both"/>
              <w:cnfStyle w:val="100000000000" w:firstRow="1" w:lastRow="0" w:firstColumn="0" w:lastColumn="0" w:oddVBand="0" w:evenVBand="0" w:oddHBand="0" w:evenHBand="0" w:firstRowFirstColumn="0" w:firstRowLastColumn="0" w:lastRowFirstColumn="0" w:lastRowLastColumn="0"/>
              <w:rPr>
                <w:color w:val="000000" w:themeColor="text1"/>
                <w:lang w:val="en-US"/>
              </w:rPr>
            </w:pPr>
            <w:r w:rsidRPr="00485D46">
              <w:rPr>
                <w:color w:val="000000" w:themeColor="text1"/>
                <w:lang w:val="en-US"/>
              </w:rPr>
              <w:t>Item(s)</w:t>
            </w:r>
          </w:p>
        </w:tc>
      </w:tr>
      <w:tr w:rsidR="005D475A" w:rsidRPr="00485D46" w14:paraId="7CF8F253" w14:textId="77777777" w:rsidTr="005D47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D2D2591" w14:textId="77777777" w:rsidR="005D475A" w:rsidRPr="00485D46" w:rsidRDefault="005D475A" w:rsidP="005D0E2E">
            <w:pPr>
              <w:jc w:val="both"/>
              <w:rPr>
                <w:b w:val="0"/>
                <w:bCs w:val="0"/>
                <w:color w:val="000000" w:themeColor="text1"/>
                <w:lang w:val="en-US"/>
              </w:rPr>
            </w:pPr>
            <w:r w:rsidRPr="00485D46">
              <w:rPr>
                <w:color w:val="000000" w:themeColor="text1"/>
                <w:lang w:val="en-US"/>
              </w:rPr>
              <w:t>Study characteristics</w:t>
            </w:r>
          </w:p>
        </w:tc>
        <w:tc>
          <w:tcPr>
            <w:tcW w:w="6661" w:type="dxa"/>
          </w:tcPr>
          <w:p w14:paraId="3806EE83" w14:textId="448B9229" w:rsidR="005D475A" w:rsidRPr="00485D46" w:rsidRDefault="005D475A" w:rsidP="005D0E2E">
            <w:pPr>
              <w:jc w:val="both"/>
              <w:cnfStyle w:val="000000100000" w:firstRow="0" w:lastRow="0" w:firstColumn="0" w:lastColumn="0" w:oddVBand="0" w:evenVBand="0" w:oddHBand="1" w:evenHBand="0" w:firstRowFirstColumn="0" w:firstRowLastColumn="0" w:lastRowFirstColumn="0" w:lastRowLastColumn="0"/>
              <w:rPr>
                <w:color w:val="000000" w:themeColor="text1"/>
                <w:lang w:val="en-US"/>
              </w:rPr>
            </w:pPr>
            <w:r w:rsidRPr="00485D46">
              <w:rPr>
                <w:color w:val="000000" w:themeColor="text1"/>
              </w:rPr>
              <w:t>Author(s), year of publication, study design and location</w:t>
            </w:r>
          </w:p>
        </w:tc>
      </w:tr>
      <w:tr w:rsidR="00320162" w:rsidRPr="00485D46" w14:paraId="6C735657" w14:textId="77777777" w:rsidTr="005D475A">
        <w:tc>
          <w:tcPr>
            <w:cnfStyle w:val="001000000000" w:firstRow="0" w:lastRow="0" w:firstColumn="1" w:lastColumn="0" w:oddVBand="0" w:evenVBand="0" w:oddHBand="0" w:evenHBand="0" w:firstRowFirstColumn="0" w:firstRowLastColumn="0" w:lastRowFirstColumn="0" w:lastRowLastColumn="0"/>
            <w:tcW w:w="2689" w:type="dxa"/>
          </w:tcPr>
          <w:p w14:paraId="627824FE" w14:textId="1FC434C7" w:rsidR="00320162" w:rsidRPr="00485D46" w:rsidRDefault="00320162" w:rsidP="005D0E2E">
            <w:pPr>
              <w:jc w:val="both"/>
              <w:rPr>
                <w:b w:val="0"/>
                <w:bCs w:val="0"/>
                <w:color w:val="000000" w:themeColor="text1"/>
                <w:lang w:val="en-US"/>
              </w:rPr>
            </w:pPr>
            <w:r w:rsidRPr="00485D46">
              <w:rPr>
                <w:color w:val="000000" w:themeColor="text1"/>
                <w:lang w:val="en-US"/>
              </w:rPr>
              <w:t>Study objectives</w:t>
            </w:r>
          </w:p>
        </w:tc>
        <w:tc>
          <w:tcPr>
            <w:tcW w:w="6661" w:type="dxa"/>
          </w:tcPr>
          <w:p w14:paraId="36300D19" w14:textId="77777777" w:rsidR="00320162" w:rsidRPr="00485D46" w:rsidRDefault="00320162" w:rsidP="005D0E2E">
            <w:pPr>
              <w:jc w:val="both"/>
              <w:cnfStyle w:val="000000000000" w:firstRow="0" w:lastRow="0" w:firstColumn="0" w:lastColumn="0" w:oddVBand="0" w:evenVBand="0" w:oddHBand="0" w:evenHBand="0" w:firstRowFirstColumn="0" w:firstRowLastColumn="0" w:lastRowFirstColumn="0" w:lastRowLastColumn="0"/>
              <w:rPr>
                <w:color w:val="000000" w:themeColor="text1"/>
              </w:rPr>
            </w:pPr>
          </w:p>
        </w:tc>
      </w:tr>
      <w:tr w:rsidR="005D475A" w:rsidRPr="00485D46" w14:paraId="10EB6500" w14:textId="77777777" w:rsidTr="005D47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5755914" w14:textId="77777777" w:rsidR="005D475A" w:rsidRPr="00485D46" w:rsidRDefault="005D475A" w:rsidP="005D0E2E">
            <w:pPr>
              <w:jc w:val="both"/>
              <w:rPr>
                <w:b w:val="0"/>
                <w:bCs w:val="0"/>
                <w:color w:val="000000" w:themeColor="text1"/>
                <w:lang w:val="en-US"/>
              </w:rPr>
            </w:pPr>
            <w:r w:rsidRPr="00485D46">
              <w:rPr>
                <w:color w:val="000000" w:themeColor="text1"/>
                <w:lang w:val="en-US"/>
              </w:rPr>
              <w:t>Sample characteristics</w:t>
            </w:r>
          </w:p>
        </w:tc>
        <w:tc>
          <w:tcPr>
            <w:tcW w:w="6661" w:type="dxa"/>
          </w:tcPr>
          <w:p w14:paraId="31E74914" w14:textId="1FCA7963" w:rsidR="005D475A" w:rsidRPr="00485D46" w:rsidRDefault="005D475A" w:rsidP="005D0E2E">
            <w:pPr>
              <w:jc w:val="both"/>
              <w:cnfStyle w:val="000000100000" w:firstRow="0" w:lastRow="0" w:firstColumn="0" w:lastColumn="0" w:oddVBand="0" w:evenVBand="0" w:oddHBand="1" w:evenHBand="0" w:firstRowFirstColumn="0" w:firstRowLastColumn="0" w:lastRowFirstColumn="0" w:lastRowLastColumn="0"/>
              <w:rPr>
                <w:color w:val="000000" w:themeColor="text1"/>
                <w:lang w:val="en-US"/>
              </w:rPr>
            </w:pPr>
            <w:r w:rsidRPr="00485D46">
              <w:rPr>
                <w:color w:val="000000" w:themeColor="text1"/>
              </w:rPr>
              <w:t>Sample size disaggregated by sex, age and physical activity/sport</w:t>
            </w:r>
          </w:p>
        </w:tc>
      </w:tr>
      <w:tr w:rsidR="005D475A" w:rsidRPr="00485D46" w14:paraId="0FF8FCC9" w14:textId="77777777" w:rsidTr="005D475A">
        <w:tc>
          <w:tcPr>
            <w:cnfStyle w:val="001000000000" w:firstRow="0" w:lastRow="0" w:firstColumn="1" w:lastColumn="0" w:oddVBand="0" w:evenVBand="0" w:oddHBand="0" w:evenHBand="0" w:firstRowFirstColumn="0" w:firstRowLastColumn="0" w:lastRowFirstColumn="0" w:lastRowLastColumn="0"/>
            <w:tcW w:w="2689" w:type="dxa"/>
          </w:tcPr>
          <w:p w14:paraId="318E7795" w14:textId="1CA4F3F8" w:rsidR="005D475A" w:rsidRPr="00485D46" w:rsidRDefault="005D475A" w:rsidP="005D0E2E">
            <w:pPr>
              <w:jc w:val="both"/>
              <w:rPr>
                <w:b w:val="0"/>
                <w:bCs w:val="0"/>
                <w:color w:val="000000" w:themeColor="text1"/>
                <w:lang w:val="en-US"/>
              </w:rPr>
            </w:pPr>
            <w:r w:rsidRPr="00485D46">
              <w:rPr>
                <w:color w:val="000000" w:themeColor="text1"/>
                <w:lang w:val="en-US"/>
              </w:rPr>
              <w:t>Primary ACL</w:t>
            </w:r>
          </w:p>
        </w:tc>
        <w:tc>
          <w:tcPr>
            <w:tcW w:w="6661" w:type="dxa"/>
          </w:tcPr>
          <w:p w14:paraId="418E6D04" w14:textId="5DDD2849" w:rsidR="005D475A" w:rsidRPr="00485D46" w:rsidRDefault="001D4326" w:rsidP="005D0E2E">
            <w:pPr>
              <w:jc w:val="both"/>
              <w:cnfStyle w:val="000000000000" w:firstRow="0" w:lastRow="0" w:firstColumn="0" w:lastColumn="0" w:oddVBand="0" w:evenVBand="0" w:oddHBand="0" w:evenHBand="0" w:firstRowFirstColumn="0" w:firstRowLastColumn="0" w:lastRowFirstColumn="0" w:lastRowLastColumn="0"/>
              <w:rPr>
                <w:color w:val="000000" w:themeColor="text1"/>
                <w:lang w:val="en-US"/>
              </w:rPr>
            </w:pPr>
            <w:r w:rsidRPr="00485D46">
              <w:rPr>
                <w:color w:val="000000" w:themeColor="text1"/>
                <w:lang w:val="en-US"/>
              </w:rPr>
              <w:t>Graft used and time after surgery</w:t>
            </w:r>
          </w:p>
        </w:tc>
      </w:tr>
      <w:tr w:rsidR="005D475A" w:rsidRPr="00485D46" w14:paraId="32C13718" w14:textId="77777777" w:rsidTr="005D47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E0665B0" w14:textId="0B6B5AC8" w:rsidR="005D475A" w:rsidRPr="00485D46" w:rsidRDefault="005D475A" w:rsidP="005D0E2E">
            <w:pPr>
              <w:jc w:val="both"/>
              <w:rPr>
                <w:b w:val="0"/>
                <w:bCs w:val="0"/>
                <w:color w:val="000000" w:themeColor="text1"/>
                <w:lang w:val="en-US"/>
              </w:rPr>
            </w:pPr>
            <w:r w:rsidRPr="00485D46">
              <w:rPr>
                <w:color w:val="000000" w:themeColor="text1"/>
                <w:lang w:val="en-US"/>
              </w:rPr>
              <w:t>Force plate outcomes</w:t>
            </w:r>
          </w:p>
        </w:tc>
        <w:tc>
          <w:tcPr>
            <w:tcW w:w="6661" w:type="dxa"/>
          </w:tcPr>
          <w:p w14:paraId="3677F365" w14:textId="591690A9" w:rsidR="005D475A" w:rsidRPr="00485D46" w:rsidRDefault="005D475A" w:rsidP="005D0E2E">
            <w:pPr>
              <w:jc w:val="both"/>
              <w:cnfStyle w:val="000000100000" w:firstRow="0" w:lastRow="0" w:firstColumn="0" w:lastColumn="0" w:oddVBand="0" w:evenVBand="0" w:oddHBand="1" w:evenHBand="0" w:firstRowFirstColumn="0" w:firstRowLastColumn="0" w:lastRowFirstColumn="0" w:lastRowLastColumn="0"/>
              <w:rPr>
                <w:color w:val="000000" w:themeColor="text1"/>
                <w:lang w:val="en-US"/>
              </w:rPr>
            </w:pPr>
            <w:r w:rsidRPr="00485D46">
              <w:rPr>
                <w:color w:val="000000" w:themeColor="text1"/>
              </w:rPr>
              <w:t xml:space="preserve">Testing procedure(s) used to estimate different outcomes.  Estimates of </w:t>
            </w:r>
            <w:r w:rsidR="007670B5" w:rsidRPr="00485D46">
              <w:rPr>
                <w:color w:val="000000" w:themeColor="text1"/>
              </w:rPr>
              <w:t>parameters</w:t>
            </w:r>
            <w:r w:rsidRPr="00485D46">
              <w:rPr>
                <w:color w:val="000000" w:themeColor="text1"/>
              </w:rPr>
              <w:t xml:space="preserve"> identified in individual following ACLR, with inter-limb comparison and/or compared to healthy controls. </w:t>
            </w:r>
            <w:r w:rsidR="0028648A" w:rsidRPr="00485D46">
              <w:rPr>
                <w:color w:val="000000" w:themeColor="text1"/>
              </w:rPr>
              <w:t xml:space="preserve">The validity and reliability of the measurement methods. </w:t>
            </w:r>
          </w:p>
        </w:tc>
      </w:tr>
      <w:tr w:rsidR="005D475A" w:rsidRPr="00485D46" w14:paraId="3651CB99" w14:textId="77777777" w:rsidTr="005D475A">
        <w:tc>
          <w:tcPr>
            <w:cnfStyle w:val="001000000000" w:firstRow="0" w:lastRow="0" w:firstColumn="1" w:lastColumn="0" w:oddVBand="0" w:evenVBand="0" w:oddHBand="0" w:evenHBand="0" w:firstRowFirstColumn="0" w:firstRowLastColumn="0" w:lastRowFirstColumn="0" w:lastRowLastColumn="0"/>
            <w:tcW w:w="2689" w:type="dxa"/>
          </w:tcPr>
          <w:p w14:paraId="396B5F8C" w14:textId="77777777" w:rsidR="005D475A" w:rsidRPr="00485D46" w:rsidRDefault="005D475A" w:rsidP="005D0E2E">
            <w:pPr>
              <w:jc w:val="both"/>
              <w:rPr>
                <w:b w:val="0"/>
                <w:bCs w:val="0"/>
                <w:color w:val="000000" w:themeColor="text1"/>
                <w:lang w:val="en-US"/>
              </w:rPr>
            </w:pPr>
            <w:r w:rsidRPr="00485D46">
              <w:rPr>
                <w:color w:val="000000" w:themeColor="text1"/>
                <w:lang w:val="en-US"/>
              </w:rPr>
              <w:t>Study quality appraisal</w:t>
            </w:r>
          </w:p>
        </w:tc>
        <w:tc>
          <w:tcPr>
            <w:tcW w:w="6661" w:type="dxa"/>
          </w:tcPr>
          <w:p w14:paraId="673D50CE" w14:textId="1D1D2304" w:rsidR="005D475A" w:rsidRPr="00485D46" w:rsidRDefault="005D475A" w:rsidP="00485D46">
            <w:pPr>
              <w:jc w:val="both"/>
              <w:cnfStyle w:val="000000000000" w:firstRow="0" w:lastRow="0" w:firstColumn="0" w:lastColumn="0" w:oddVBand="0" w:evenVBand="0" w:oddHBand="0" w:evenHBand="0" w:firstRowFirstColumn="0" w:firstRowLastColumn="0" w:lastRowFirstColumn="0" w:lastRowLastColumn="0"/>
              <w:rPr>
                <w:color w:val="000000" w:themeColor="text1"/>
                <w:lang w:val="en-US"/>
              </w:rPr>
            </w:pPr>
            <w:r w:rsidRPr="00485D46">
              <w:rPr>
                <w:color w:val="000000" w:themeColor="text1"/>
                <w:lang w:val="en-US"/>
              </w:rPr>
              <w:t>Downs and Black Checklist for the assessment of the methodological quality</w:t>
            </w:r>
            <w:r w:rsidRPr="00485D46">
              <w:rPr>
                <w:color w:val="000000" w:themeColor="text1"/>
                <w:lang w:val="en-US"/>
              </w:rPr>
              <w:fldChar w:fldCharType="begin" w:fldLock="1"/>
            </w:r>
            <w:r w:rsidR="00C02A4E">
              <w:rPr>
                <w:color w:val="000000" w:themeColor="text1"/>
                <w:lang w:val="en-US"/>
              </w:rPr>
              <w:instrText>ADDIN CSL_CITATION {"citationItems":[{"id":"ITEM-1","itemData":{"abstract":"Objective-To test the feasibility of creating a valid and reliable checklist with the following features: appropriate for assessing both randomised and non-randomised studies; provision of both an overall score for study quality and a profile of scores not only for the quality of reporting, internal validity (bias and confounding) and power, but also for external validity. Design-A pilot version was first developed , based on epidemiological principles , reviews, and existing checklists for randomised studies. Face and content validity were assessed by three experienced reviewers and reliability was determined using two raters assessing 10 randomised and 10 non-randomised studies. Using diVerent raters, the checklist was revised and tested for internal consistency (Kuder-Richardson 20), test-retest and inter-rater reliability (Spearman correlation coeYcient and sign rank test; statistics), criterion validity, and respondent burden. Main results-The performance of the checklist improved considerably after revision of a pilot version. The Quality Index had high internal consistency (KR-20: 0.89) as did the subscales apart from external validity (KR-20: 0.54). Test-retest (r 0.88) and inter-rater (r 0.75) reliability of the Quality Index were good. Reliability of the subscales varied from good (bias) to poor (external validity). The Quality Index correlated highly with an existing, established instrument for assessing ran-domised studies (r 0.90). There was little diVerence between its performance with non-randomised and with randomised studies. Raters took about 20 minutes to assess each paper (range 10 to 45 minutes). Conclusions-This study has shown that it is feasible to develop a checklist that can be used to assess the methodological quality not only of randomised controlled trials but also non-randomised studies. It has also shown that it is possible to produce a checklist that provides a profile of the paper, alerting reviewers to its particular methodological strengths and weaknesses. Further work is required to improve the checklist and the training of raters in the assessment of external validity.","author":[{"dropping-particle":"","family":"Downs","given":"Sara H","non-dropping-particle":"","parse-names":false,"suffix":""},{"dropping-particle":"","family":"Black","given":"Nick","non-dropping-particle":"","parse-names":false,"suffix":""}],"container-title":"J Epidemiol Community Health","id":"ITEM-1","issued":{"date-parts":[["1998"]]},"number-of-pages":"377-384","title":"The feasibility of creating a checklist for the assessment of the methodological quality both of randomised and non-randomised studies of health care interventions","type":"report","volume":"52"},"uris":["http://www.mendeley.com/documents/?uuid=84b129d3-d0c7-3274-bc3f-2e810da2456d"]}],"mendeley":{"formattedCitation":"&lt;sup&gt;27&lt;/sup&gt;","plainTextFormattedCitation":"27","previouslyFormattedCitation":"&lt;sup&gt;27&lt;/sup&gt;"},"properties":{"noteIndex":0},"schema":"https://github.com/citation-style-language/schema/raw/master/csl-citation.json"}</w:instrText>
            </w:r>
            <w:r w:rsidRPr="00485D46">
              <w:rPr>
                <w:color w:val="000000" w:themeColor="text1"/>
                <w:lang w:val="en-US"/>
              </w:rPr>
              <w:fldChar w:fldCharType="separate"/>
            </w:r>
            <w:r w:rsidR="00485D46" w:rsidRPr="00485D46">
              <w:rPr>
                <w:noProof/>
                <w:color w:val="000000" w:themeColor="text1"/>
                <w:vertAlign w:val="superscript"/>
                <w:lang w:val="en-US"/>
              </w:rPr>
              <w:t>27</w:t>
            </w:r>
            <w:r w:rsidRPr="00485D46">
              <w:rPr>
                <w:color w:val="000000" w:themeColor="text1"/>
                <w:lang w:val="en-US"/>
              </w:rPr>
              <w:fldChar w:fldCharType="end"/>
            </w:r>
            <w:r w:rsidRPr="00485D46">
              <w:rPr>
                <w:color w:val="000000" w:themeColor="text1"/>
                <w:lang w:val="en-US"/>
              </w:rPr>
              <w:t>score</w:t>
            </w:r>
          </w:p>
        </w:tc>
      </w:tr>
      <w:tr w:rsidR="005D475A" w:rsidRPr="00485D46" w14:paraId="4DC486E3" w14:textId="77777777" w:rsidTr="005D47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AFC8179" w14:textId="77777777" w:rsidR="005D475A" w:rsidRPr="00485D46" w:rsidRDefault="005D475A" w:rsidP="005D0E2E">
            <w:pPr>
              <w:jc w:val="both"/>
              <w:rPr>
                <w:b w:val="0"/>
                <w:bCs w:val="0"/>
                <w:color w:val="000000" w:themeColor="text1"/>
                <w:lang w:val="en-US"/>
              </w:rPr>
            </w:pPr>
            <w:r w:rsidRPr="00485D46">
              <w:rPr>
                <w:color w:val="000000" w:themeColor="text1"/>
                <w:lang w:val="en-US"/>
              </w:rPr>
              <w:t>Level of evidence</w:t>
            </w:r>
          </w:p>
        </w:tc>
        <w:tc>
          <w:tcPr>
            <w:tcW w:w="6661" w:type="dxa"/>
          </w:tcPr>
          <w:p w14:paraId="43FFF771" w14:textId="19E21057" w:rsidR="005D475A" w:rsidRPr="00485D46" w:rsidRDefault="005D475A" w:rsidP="00485D46">
            <w:pPr>
              <w:jc w:val="both"/>
              <w:cnfStyle w:val="000000100000" w:firstRow="0" w:lastRow="0" w:firstColumn="0" w:lastColumn="0" w:oddVBand="0" w:evenVBand="0" w:oddHBand="1" w:evenHBand="0" w:firstRowFirstColumn="0" w:firstRowLastColumn="0" w:lastRowFirstColumn="0" w:lastRowLastColumn="0"/>
              <w:rPr>
                <w:color w:val="000000" w:themeColor="text1"/>
                <w:lang w:val="en-US"/>
              </w:rPr>
            </w:pPr>
            <w:r w:rsidRPr="00485D46">
              <w:rPr>
                <w:color w:val="000000" w:themeColor="text1"/>
                <w:lang w:val="en-US"/>
              </w:rPr>
              <w:t>Oxford Centre of Evidence</w:t>
            </w:r>
            <w:r w:rsidR="00341683" w:rsidRPr="00485D46">
              <w:rPr>
                <w:color w:val="000000" w:themeColor="text1"/>
                <w:lang w:val="en-US"/>
              </w:rPr>
              <w:t>-</w:t>
            </w:r>
            <w:r w:rsidRPr="00485D46">
              <w:rPr>
                <w:color w:val="000000" w:themeColor="text1"/>
                <w:lang w:val="en-US"/>
              </w:rPr>
              <w:t>Based Medicine (OCEBM) 2011 model</w:t>
            </w:r>
            <w:r w:rsidRPr="00485D46">
              <w:rPr>
                <w:color w:val="000000" w:themeColor="text1"/>
                <w:lang w:val="en-US"/>
              </w:rPr>
              <w:fldChar w:fldCharType="begin" w:fldLock="1"/>
            </w:r>
            <w:r w:rsidR="00C02A4E">
              <w:rPr>
                <w:color w:val="000000" w:themeColor="text1"/>
                <w:lang w:val="en-US"/>
              </w:rPr>
              <w:instrText>ADDIN CSL_CITATION {"citationItems":[{"id":"ITEM-1","itemData":{"abstract":"* Level may be graded down on the basis of study quality, imprecision, indirectness (study PICO does not match questions PICO), because of inconsistency between studies, or because the absolute effect size is very small; Level may be graded up if there is a large or very large effect size.","author":[{"dropping-particle":"","family":"Howick","given":"Jeremy","non-dropping-particle":"","parse-names":false,"suffix":""},{"dropping-particle":"","family":"Chalmers","given":"Iain","non-dropping-particle":"","parse-names":false,"suffix":""},{"dropping-particle":"","family":"Lind","given":"James","non-dropping-particle":"","parse-names":false,"suffix":""},{"dropping-particle":"","family":"Glasziou","given":"Paul","non-dropping-particle":"","parse-names":false,"suffix":""},{"dropping-particle":"","family":"Greenhalgh","given":"Trish","non-dropping-particle":"","parse-names":false,"suffix":""},{"dropping-particle":"","family":"Heneghan","given":"Carl","non-dropping-particle":"","parse-names":false,"suffix":""},{"dropping-particle":"","family":"Liberati","given":"Alessandro","non-dropping-particle":"","parse-names":false,"suffix":""},{"dropping-particle":"","family":"Moschetti","given":"Ivan","non-dropping-particle":"","parse-names":false,"suffix":""},{"dropping-particle":"","family":"Phillips","given":"Bob","non-dropping-particle":"","parse-names":false,"suffix":""},{"dropping-particle":"","family":"Thornton","given":"Hazel","non-dropping-particle":"","parse-names":false,"suffix":""},{"dropping-particle":"","family":"Goddard","given":"Olive","non-dropping-particle":"","parse-names":false,"suffix":""},{"dropping-particle":"","family":"Hodgkinson","given":"Mary","non-dropping-particle":"","parse-names":false,"suffix":""}],"id":"ITEM-1","issued":{"date-parts":[["0"]]},"title":"Oxford Centre for Evidence-Based Medicine 2011 Levels of Evidence","type":"report"},"uris":["http://www.mendeley.com/documents/?uuid=7f3aa660-8659-3612-83b6-3b573546eae2"]}],"mendeley":{"formattedCitation":"&lt;sup&gt;28&lt;/sup&gt;","plainTextFormattedCitation":"28","previouslyFormattedCitation":"&lt;sup&gt;28&lt;/sup&gt;"},"properties":{"noteIndex":0},"schema":"https://github.com/citation-style-language/schema/raw/master/csl-citation.json"}</w:instrText>
            </w:r>
            <w:r w:rsidRPr="00485D46">
              <w:rPr>
                <w:color w:val="000000" w:themeColor="text1"/>
                <w:lang w:val="en-US"/>
              </w:rPr>
              <w:fldChar w:fldCharType="separate"/>
            </w:r>
            <w:r w:rsidR="00485D46" w:rsidRPr="00485D46">
              <w:rPr>
                <w:noProof/>
                <w:color w:val="000000" w:themeColor="text1"/>
                <w:vertAlign w:val="superscript"/>
                <w:lang w:val="en-US"/>
              </w:rPr>
              <w:t>28</w:t>
            </w:r>
            <w:r w:rsidRPr="00485D46">
              <w:rPr>
                <w:color w:val="000000" w:themeColor="text1"/>
                <w:lang w:val="en-US"/>
              </w:rPr>
              <w:fldChar w:fldCharType="end"/>
            </w:r>
          </w:p>
        </w:tc>
      </w:tr>
    </w:tbl>
    <w:p w14:paraId="46CD427E" w14:textId="77777777" w:rsidR="008D1386" w:rsidRPr="00485D46" w:rsidRDefault="008D1386" w:rsidP="005D0E2E">
      <w:pPr>
        <w:pStyle w:val="NoSpacing"/>
        <w:jc w:val="both"/>
        <w:rPr>
          <w:rFonts w:ascii="Times New Roman" w:hAnsi="Times New Roman" w:cs="Times New Roman"/>
          <w:b/>
          <w:color w:val="000000" w:themeColor="text1"/>
          <w:sz w:val="24"/>
          <w:szCs w:val="24"/>
        </w:rPr>
      </w:pPr>
    </w:p>
    <w:p w14:paraId="26FC7784" w14:textId="373DFF62" w:rsidR="00B80253" w:rsidRPr="00485D46" w:rsidRDefault="00521C05" w:rsidP="005D0E2E">
      <w:pPr>
        <w:pStyle w:val="NoSpacing"/>
        <w:jc w:val="both"/>
        <w:rPr>
          <w:rFonts w:ascii="Times New Roman" w:hAnsi="Times New Roman" w:cs="Times New Roman"/>
          <w:b/>
          <w:color w:val="000000" w:themeColor="text1"/>
          <w:sz w:val="24"/>
          <w:szCs w:val="24"/>
        </w:rPr>
      </w:pPr>
      <w:r w:rsidRPr="00485D46">
        <w:rPr>
          <w:rFonts w:ascii="Times New Roman" w:hAnsi="Times New Roman" w:cs="Times New Roman"/>
          <w:b/>
          <w:color w:val="000000" w:themeColor="text1"/>
          <w:sz w:val="24"/>
          <w:szCs w:val="24"/>
        </w:rPr>
        <w:t xml:space="preserve">Stage 5: </w:t>
      </w:r>
      <w:r w:rsidR="00497346" w:rsidRPr="00485D46">
        <w:rPr>
          <w:rFonts w:ascii="Times New Roman" w:hAnsi="Times New Roman" w:cs="Times New Roman"/>
          <w:b/>
          <w:color w:val="000000" w:themeColor="text1"/>
          <w:sz w:val="24"/>
          <w:szCs w:val="24"/>
        </w:rPr>
        <w:t>Collate, summarize, analyze and report the results</w:t>
      </w:r>
    </w:p>
    <w:p w14:paraId="0CD3CA61" w14:textId="77777777" w:rsidR="005A3833" w:rsidRPr="00485D46" w:rsidRDefault="005A3833" w:rsidP="005D0E2E">
      <w:pPr>
        <w:pStyle w:val="NoSpacing"/>
        <w:ind w:left="709"/>
        <w:jc w:val="both"/>
        <w:rPr>
          <w:rFonts w:ascii="Times New Roman" w:hAnsi="Times New Roman" w:cs="Times New Roman"/>
          <w:color w:val="000000" w:themeColor="text1"/>
          <w:sz w:val="24"/>
          <w:szCs w:val="24"/>
        </w:rPr>
      </w:pPr>
    </w:p>
    <w:p w14:paraId="72509246" w14:textId="21FF25B7" w:rsidR="00B31EE9" w:rsidRPr="00485D46" w:rsidRDefault="00D93AE8" w:rsidP="005D0E2E">
      <w:pPr>
        <w:pStyle w:val="NoSpacing"/>
        <w:ind w:left="709"/>
        <w:jc w:val="both"/>
        <w:rPr>
          <w:rFonts w:ascii="Times New Roman" w:hAnsi="Times New Roman" w:cs="Times New Roman"/>
          <w:color w:val="000000" w:themeColor="text1"/>
          <w:sz w:val="24"/>
          <w:szCs w:val="24"/>
        </w:rPr>
      </w:pPr>
      <w:r w:rsidRPr="00485D46">
        <w:rPr>
          <w:rFonts w:ascii="Times New Roman" w:hAnsi="Times New Roman" w:cs="Times New Roman"/>
          <w:color w:val="000000" w:themeColor="text1"/>
          <w:sz w:val="24"/>
          <w:szCs w:val="24"/>
        </w:rPr>
        <w:lastRenderedPageBreak/>
        <w:t>The analysis of the data items in the data-charting framework will pro</w:t>
      </w:r>
      <w:r w:rsidR="00FB595A" w:rsidRPr="00485D46">
        <w:rPr>
          <w:rFonts w:ascii="Times New Roman" w:hAnsi="Times New Roman" w:cs="Times New Roman"/>
          <w:color w:val="000000" w:themeColor="text1"/>
          <w:sz w:val="24"/>
          <w:szCs w:val="24"/>
        </w:rPr>
        <w:t xml:space="preserve">vide us with information on the </w:t>
      </w:r>
      <w:r w:rsidR="00FB595A" w:rsidRPr="00485D46">
        <w:rPr>
          <w:rFonts w:ascii="Times New Roman" w:hAnsi="Times New Roman" w:cs="Times New Roman"/>
          <w:color w:val="0E101A"/>
          <w:sz w:val="24"/>
          <w:szCs w:val="24"/>
        </w:rPr>
        <w:t>current approaches for kinetic measurements in individuals following ACLR.</w:t>
      </w:r>
      <w:r w:rsidR="00FB595A" w:rsidRPr="00485D46">
        <w:rPr>
          <w:rFonts w:ascii="Times New Roman" w:hAnsi="Times New Roman" w:cs="Times New Roman"/>
          <w:color w:val="000000" w:themeColor="text1"/>
          <w:sz w:val="24"/>
          <w:szCs w:val="24"/>
        </w:rPr>
        <w:t xml:space="preserve"> </w:t>
      </w:r>
      <w:r w:rsidRPr="00485D46">
        <w:rPr>
          <w:rFonts w:ascii="Times New Roman" w:hAnsi="Times New Roman" w:cs="Times New Roman"/>
          <w:color w:val="000000" w:themeColor="text1"/>
          <w:sz w:val="24"/>
          <w:szCs w:val="24"/>
        </w:rPr>
        <w:t xml:space="preserve">Our results may also highlight the emergence of different uses for force platforms as clinical or research utilities. Conversely, the review may show areas that have been understudied and recommend future research. </w:t>
      </w:r>
      <w:r w:rsidR="00497346" w:rsidRPr="00485D46">
        <w:rPr>
          <w:rFonts w:ascii="Times New Roman" w:hAnsi="Times New Roman" w:cs="Times New Roman"/>
          <w:color w:val="000000" w:themeColor="text1"/>
          <w:sz w:val="24"/>
          <w:szCs w:val="24"/>
        </w:rPr>
        <w:t>The</w:t>
      </w:r>
      <w:r w:rsidR="00781D55" w:rsidRPr="00485D46">
        <w:rPr>
          <w:rFonts w:ascii="Times New Roman" w:hAnsi="Times New Roman" w:cs="Times New Roman"/>
          <w:color w:val="000000" w:themeColor="text1"/>
          <w:sz w:val="24"/>
          <w:szCs w:val="24"/>
        </w:rPr>
        <w:t xml:space="preserve"> results will be presented </w:t>
      </w:r>
      <w:r w:rsidR="00341683" w:rsidRPr="00485D46">
        <w:rPr>
          <w:rFonts w:ascii="Times New Roman" w:hAnsi="Times New Roman" w:cs="Times New Roman"/>
          <w:color w:val="000000" w:themeColor="text1"/>
          <w:sz w:val="24"/>
          <w:szCs w:val="24"/>
        </w:rPr>
        <w:t xml:space="preserve">in </w:t>
      </w:r>
      <w:r w:rsidR="00497346" w:rsidRPr="00485D46">
        <w:rPr>
          <w:rFonts w:ascii="Times New Roman" w:hAnsi="Times New Roman" w:cs="Times New Roman"/>
          <w:color w:val="000000" w:themeColor="text1"/>
          <w:sz w:val="24"/>
          <w:szCs w:val="24"/>
        </w:rPr>
        <w:t xml:space="preserve">a way that </w:t>
      </w:r>
      <w:r w:rsidR="00A83DCA" w:rsidRPr="00485D46">
        <w:rPr>
          <w:rFonts w:ascii="Times New Roman" w:hAnsi="Times New Roman" w:cs="Times New Roman"/>
          <w:color w:val="000000" w:themeColor="text1"/>
          <w:sz w:val="24"/>
          <w:szCs w:val="24"/>
        </w:rPr>
        <w:t>relates to the review's</w:t>
      </w:r>
      <w:r w:rsidR="00497346" w:rsidRPr="00485D46">
        <w:rPr>
          <w:rFonts w:ascii="Times New Roman" w:hAnsi="Times New Roman" w:cs="Times New Roman"/>
          <w:color w:val="000000" w:themeColor="text1"/>
          <w:sz w:val="24"/>
          <w:szCs w:val="24"/>
        </w:rPr>
        <w:t xml:space="preserve"> questions and objectives of this scoping review</w:t>
      </w:r>
      <w:r w:rsidR="00781D55" w:rsidRPr="00485D46">
        <w:rPr>
          <w:rFonts w:ascii="Times New Roman" w:hAnsi="Times New Roman" w:cs="Times New Roman"/>
          <w:color w:val="000000" w:themeColor="text1"/>
          <w:sz w:val="24"/>
          <w:szCs w:val="24"/>
        </w:rPr>
        <w:t xml:space="preserve"> using tables and charts, as appropriate</w:t>
      </w:r>
      <w:r w:rsidR="00497346" w:rsidRPr="00485D46">
        <w:rPr>
          <w:rFonts w:ascii="Times New Roman" w:hAnsi="Times New Roman" w:cs="Times New Roman"/>
          <w:color w:val="000000" w:themeColor="text1"/>
          <w:sz w:val="24"/>
          <w:szCs w:val="24"/>
        </w:rPr>
        <w:t xml:space="preserve">. </w:t>
      </w:r>
      <w:r w:rsidR="00FB595A" w:rsidRPr="00485D46">
        <w:rPr>
          <w:rFonts w:ascii="Times New Roman" w:hAnsi="Times New Roman" w:cs="Times New Roman"/>
          <w:color w:val="000000" w:themeColor="text1"/>
          <w:sz w:val="24"/>
          <w:szCs w:val="24"/>
        </w:rPr>
        <w:t xml:space="preserve">Descriptive and numerical analysis of the extracted variables </w:t>
      </w:r>
      <w:r w:rsidR="00497346" w:rsidRPr="00485D46">
        <w:rPr>
          <w:rFonts w:ascii="Times New Roman" w:hAnsi="Times New Roman" w:cs="Times New Roman"/>
          <w:color w:val="000000" w:themeColor="text1"/>
          <w:sz w:val="24"/>
          <w:szCs w:val="24"/>
        </w:rPr>
        <w:t xml:space="preserve">will explain and discuss how the results align </w:t>
      </w:r>
      <w:r w:rsidR="00A83DCA" w:rsidRPr="00485D46">
        <w:rPr>
          <w:rFonts w:ascii="Times New Roman" w:hAnsi="Times New Roman" w:cs="Times New Roman"/>
          <w:color w:val="000000" w:themeColor="text1"/>
          <w:sz w:val="24"/>
          <w:szCs w:val="24"/>
        </w:rPr>
        <w:t xml:space="preserve">with the predetermined research objectives. </w:t>
      </w:r>
    </w:p>
    <w:p w14:paraId="058924E1" w14:textId="77777777" w:rsidR="00A83DCA" w:rsidRDefault="00A83DCA" w:rsidP="005D0E2E">
      <w:pPr>
        <w:pStyle w:val="NoSpacing"/>
        <w:jc w:val="both"/>
        <w:rPr>
          <w:rFonts w:ascii="Times New Roman" w:hAnsi="Times New Roman" w:cs="Times New Roman"/>
          <w:b/>
          <w:color w:val="000000" w:themeColor="text1"/>
          <w:sz w:val="24"/>
          <w:szCs w:val="24"/>
        </w:rPr>
      </w:pPr>
    </w:p>
    <w:p w14:paraId="6FD0A44A" w14:textId="77777777" w:rsidR="00F50321" w:rsidRDefault="00F50321" w:rsidP="005D0E2E">
      <w:pPr>
        <w:pStyle w:val="NoSpacing"/>
        <w:jc w:val="both"/>
        <w:rPr>
          <w:rFonts w:ascii="Times New Roman" w:hAnsi="Times New Roman" w:cs="Times New Roman"/>
          <w:b/>
          <w:color w:val="000000" w:themeColor="text1"/>
          <w:sz w:val="24"/>
          <w:szCs w:val="24"/>
        </w:rPr>
      </w:pPr>
    </w:p>
    <w:p w14:paraId="323B9C8D" w14:textId="77777777" w:rsidR="00F50321" w:rsidRPr="00485D46" w:rsidRDefault="00F50321" w:rsidP="005D0E2E">
      <w:pPr>
        <w:pStyle w:val="NoSpacing"/>
        <w:jc w:val="both"/>
        <w:rPr>
          <w:rFonts w:ascii="Times New Roman" w:hAnsi="Times New Roman" w:cs="Times New Roman"/>
          <w:b/>
          <w:color w:val="000000" w:themeColor="text1"/>
          <w:sz w:val="24"/>
          <w:szCs w:val="24"/>
        </w:rPr>
      </w:pPr>
    </w:p>
    <w:p w14:paraId="18086AA3" w14:textId="596E6B85" w:rsidR="00B31EE9" w:rsidRPr="00485D46" w:rsidRDefault="00521C05" w:rsidP="005D0E2E">
      <w:pPr>
        <w:pStyle w:val="NoSpacing"/>
        <w:jc w:val="both"/>
        <w:rPr>
          <w:rFonts w:ascii="Times New Roman" w:hAnsi="Times New Roman" w:cs="Times New Roman"/>
          <w:b/>
          <w:color w:val="000000" w:themeColor="text1"/>
          <w:sz w:val="24"/>
          <w:szCs w:val="24"/>
        </w:rPr>
      </w:pPr>
      <w:r w:rsidRPr="00485D46">
        <w:rPr>
          <w:rFonts w:ascii="Times New Roman" w:hAnsi="Times New Roman" w:cs="Times New Roman"/>
          <w:b/>
          <w:color w:val="000000" w:themeColor="text1"/>
          <w:sz w:val="24"/>
          <w:szCs w:val="24"/>
        </w:rPr>
        <w:t xml:space="preserve">Stage 6: </w:t>
      </w:r>
      <w:r w:rsidR="00B31EE9" w:rsidRPr="00485D46">
        <w:rPr>
          <w:rFonts w:ascii="Times New Roman" w:hAnsi="Times New Roman" w:cs="Times New Roman"/>
          <w:b/>
          <w:color w:val="000000" w:themeColor="text1"/>
          <w:sz w:val="24"/>
          <w:szCs w:val="24"/>
        </w:rPr>
        <w:t>Consultation</w:t>
      </w:r>
    </w:p>
    <w:p w14:paraId="3407B199" w14:textId="77777777" w:rsidR="005A3833" w:rsidRPr="00485D46" w:rsidRDefault="005A3833" w:rsidP="005D0E2E">
      <w:pPr>
        <w:pStyle w:val="NoSpacing"/>
        <w:ind w:left="709"/>
        <w:jc w:val="both"/>
        <w:rPr>
          <w:rFonts w:ascii="Times New Roman" w:hAnsi="Times New Roman" w:cs="Times New Roman"/>
          <w:b/>
          <w:color w:val="000000" w:themeColor="text1"/>
          <w:sz w:val="24"/>
          <w:szCs w:val="24"/>
        </w:rPr>
      </w:pPr>
    </w:p>
    <w:p w14:paraId="6D1B4A4B" w14:textId="0BBA6BA2" w:rsidR="00963359" w:rsidRPr="00485D46" w:rsidRDefault="00781D55" w:rsidP="005D0E2E">
      <w:pPr>
        <w:pStyle w:val="NoSpacing"/>
        <w:ind w:left="709"/>
        <w:jc w:val="both"/>
        <w:rPr>
          <w:rFonts w:ascii="Times New Roman" w:hAnsi="Times New Roman" w:cs="Times New Roman"/>
          <w:color w:val="000000" w:themeColor="text1"/>
          <w:sz w:val="24"/>
          <w:szCs w:val="24"/>
        </w:rPr>
      </w:pPr>
      <w:r w:rsidRPr="00485D46">
        <w:rPr>
          <w:rFonts w:ascii="Times New Roman" w:hAnsi="Times New Roman" w:cs="Times New Roman"/>
          <w:color w:val="000000" w:themeColor="text1"/>
          <w:sz w:val="24"/>
          <w:szCs w:val="24"/>
        </w:rPr>
        <w:t xml:space="preserve">To employ an integrated knowledge translation and dissemination approach, we will engage knowledge users </w:t>
      </w:r>
      <w:r w:rsidR="0059323F" w:rsidRPr="00485D46">
        <w:rPr>
          <w:rFonts w:ascii="Times New Roman" w:hAnsi="Times New Roman" w:cs="Times New Roman"/>
          <w:color w:val="000000" w:themeColor="text1"/>
          <w:sz w:val="24"/>
          <w:szCs w:val="24"/>
        </w:rPr>
        <w:t xml:space="preserve">for their inputs </w:t>
      </w:r>
      <w:r w:rsidR="00963359" w:rsidRPr="00485D46">
        <w:rPr>
          <w:rFonts w:ascii="Times New Roman" w:hAnsi="Times New Roman" w:cs="Times New Roman"/>
          <w:color w:val="000000" w:themeColor="text1"/>
          <w:sz w:val="24"/>
          <w:szCs w:val="24"/>
        </w:rPr>
        <w:t>on</w:t>
      </w:r>
      <w:r w:rsidR="0059323F" w:rsidRPr="00485D46">
        <w:rPr>
          <w:rFonts w:ascii="Times New Roman" w:hAnsi="Times New Roman" w:cs="Times New Roman"/>
          <w:color w:val="000000" w:themeColor="text1"/>
          <w:sz w:val="24"/>
          <w:szCs w:val="24"/>
        </w:rPr>
        <w:t xml:space="preserve"> the study</w:t>
      </w:r>
      <w:r w:rsidR="00963359" w:rsidRPr="00485D46">
        <w:rPr>
          <w:rFonts w:ascii="Times New Roman" w:hAnsi="Times New Roman" w:cs="Times New Roman"/>
          <w:color w:val="000000" w:themeColor="text1"/>
          <w:sz w:val="24"/>
          <w:szCs w:val="24"/>
        </w:rPr>
        <w:t xml:space="preserve"> findings</w:t>
      </w:r>
      <w:r w:rsidRPr="00485D46">
        <w:rPr>
          <w:rFonts w:ascii="Times New Roman" w:hAnsi="Times New Roman" w:cs="Times New Roman"/>
          <w:color w:val="000000" w:themeColor="text1"/>
          <w:sz w:val="24"/>
          <w:szCs w:val="24"/>
        </w:rPr>
        <w:t xml:space="preserve">. </w:t>
      </w:r>
    </w:p>
    <w:p w14:paraId="11E6D214" w14:textId="77777777" w:rsidR="00963359" w:rsidRPr="00485D46" w:rsidRDefault="00963359" w:rsidP="005D0E2E">
      <w:pPr>
        <w:pStyle w:val="NoSpacing"/>
        <w:ind w:left="709"/>
        <w:jc w:val="both"/>
        <w:rPr>
          <w:rFonts w:ascii="Times New Roman" w:hAnsi="Times New Roman" w:cs="Times New Roman"/>
          <w:color w:val="000000" w:themeColor="text1"/>
          <w:sz w:val="24"/>
          <w:szCs w:val="24"/>
        </w:rPr>
      </w:pPr>
    </w:p>
    <w:p w14:paraId="21E56AF1" w14:textId="1DC816CC" w:rsidR="00A83DCA" w:rsidRPr="00485D46" w:rsidRDefault="00781D55" w:rsidP="005D0E2E">
      <w:pPr>
        <w:pStyle w:val="NoSpacing"/>
        <w:ind w:left="709"/>
        <w:jc w:val="both"/>
        <w:rPr>
          <w:rFonts w:ascii="Times New Roman" w:hAnsi="Times New Roman" w:cs="Times New Roman"/>
          <w:color w:val="000000" w:themeColor="text1"/>
          <w:sz w:val="24"/>
          <w:szCs w:val="24"/>
        </w:rPr>
      </w:pPr>
      <w:r w:rsidRPr="00485D46">
        <w:rPr>
          <w:rFonts w:ascii="Times New Roman" w:hAnsi="Times New Roman" w:cs="Times New Roman"/>
          <w:color w:val="000000" w:themeColor="text1"/>
          <w:sz w:val="24"/>
          <w:szCs w:val="24"/>
        </w:rPr>
        <w:t xml:space="preserve">In addition to the </w:t>
      </w:r>
      <w:r w:rsidR="008D1386" w:rsidRPr="00485D46">
        <w:rPr>
          <w:rFonts w:ascii="Times New Roman" w:hAnsi="Times New Roman" w:cs="Times New Roman"/>
          <w:color w:val="000000" w:themeColor="text1"/>
          <w:sz w:val="24"/>
          <w:szCs w:val="24"/>
        </w:rPr>
        <w:t>on-going</w:t>
      </w:r>
      <w:r w:rsidRPr="00485D46">
        <w:rPr>
          <w:rFonts w:ascii="Times New Roman" w:hAnsi="Times New Roman" w:cs="Times New Roman"/>
          <w:color w:val="000000" w:themeColor="text1"/>
          <w:sz w:val="24"/>
          <w:szCs w:val="24"/>
        </w:rPr>
        <w:t xml:space="preserve"> consultation with the </w:t>
      </w:r>
      <w:r w:rsidR="00DE5673" w:rsidRPr="00485D46">
        <w:rPr>
          <w:rFonts w:ascii="Times New Roman" w:hAnsi="Times New Roman" w:cs="Times New Roman"/>
          <w:color w:val="000000" w:themeColor="text1"/>
          <w:sz w:val="24"/>
          <w:szCs w:val="24"/>
        </w:rPr>
        <w:t xml:space="preserve">multidisciplinary </w:t>
      </w:r>
      <w:r w:rsidRPr="00485D46">
        <w:rPr>
          <w:rFonts w:ascii="Times New Roman" w:hAnsi="Times New Roman" w:cs="Times New Roman"/>
          <w:color w:val="000000" w:themeColor="text1"/>
          <w:sz w:val="24"/>
          <w:szCs w:val="24"/>
        </w:rPr>
        <w:t>study team, other knowledge partners and collaborators will als</w:t>
      </w:r>
      <w:r w:rsidR="0018404A" w:rsidRPr="00485D46">
        <w:rPr>
          <w:rFonts w:ascii="Times New Roman" w:hAnsi="Times New Roman" w:cs="Times New Roman"/>
          <w:color w:val="000000" w:themeColor="text1"/>
          <w:sz w:val="24"/>
          <w:szCs w:val="24"/>
        </w:rPr>
        <w:t xml:space="preserve">o be </w:t>
      </w:r>
      <w:r w:rsidR="00341683" w:rsidRPr="00485D46">
        <w:rPr>
          <w:rFonts w:ascii="Times New Roman" w:hAnsi="Times New Roman" w:cs="Times New Roman"/>
          <w:color w:val="000000" w:themeColor="text1"/>
          <w:sz w:val="24"/>
          <w:szCs w:val="24"/>
        </w:rPr>
        <w:t xml:space="preserve">approached. We will </w:t>
      </w:r>
      <w:r w:rsidR="0018404A" w:rsidRPr="00485D46">
        <w:rPr>
          <w:rFonts w:ascii="Times New Roman" w:hAnsi="Times New Roman" w:cs="Times New Roman"/>
          <w:color w:val="000000" w:themeColor="text1"/>
          <w:sz w:val="24"/>
          <w:szCs w:val="24"/>
        </w:rPr>
        <w:t>consult</w:t>
      </w:r>
      <w:r w:rsidR="00341683" w:rsidRPr="00485D46">
        <w:rPr>
          <w:rFonts w:ascii="Times New Roman" w:hAnsi="Times New Roman" w:cs="Times New Roman"/>
          <w:color w:val="000000" w:themeColor="text1"/>
          <w:sz w:val="24"/>
          <w:szCs w:val="24"/>
        </w:rPr>
        <w:t xml:space="preserve"> them</w:t>
      </w:r>
      <w:r w:rsidR="0018404A" w:rsidRPr="00485D46">
        <w:rPr>
          <w:rFonts w:ascii="Times New Roman" w:hAnsi="Times New Roman" w:cs="Times New Roman"/>
          <w:color w:val="000000" w:themeColor="text1"/>
          <w:sz w:val="24"/>
          <w:szCs w:val="24"/>
        </w:rPr>
        <w:t xml:space="preserve"> for their perspectives </w:t>
      </w:r>
      <w:r w:rsidR="00963359" w:rsidRPr="00485D46">
        <w:rPr>
          <w:rFonts w:ascii="Times New Roman" w:hAnsi="Times New Roman" w:cs="Times New Roman"/>
          <w:color w:val="000000" w:themeColor="text1"/>
          <w:sz w:val="24"/>
          <w:szCs w:val="24"/>
        </w:rPr>
        <w:t>on the study findings. To employ an integrated knowledge translation, w</w:t>
      </w:r>
      <w:r w:rsidR="0018404A" w:rsidRPr="00485D46">
        <w:rPr>
          <w:rFonts w:ascii="Times New Roman" w:hAnsi="Times New Roman" w:cs="Times New Roman"/>
          <w:color w:val="000000" w:themeColor="text1"/>
          <w:sz w:val="24"/>
          <w:szCs w:val="24"/>
        </w:rPr>
        <w:t>e will prepare a presentation disseminat</w:t>
      </w:r>
      <w:r w:rsidR="00963359" w:rsidRPr="00485D46">
        <w:rPr>
          <w:rFonts w:ascii="Times New Roman" w:hAnsi="Times New Roman" w:cs="Times New Roman"/>
          <w:color w:val="000000" w:themeColor="text1"/>
          <w:sz w:val="24"/>
          <w:szCs w:val="24"/>
        </w:rPr>
        <w:t>ing</w:t>
      </w:r>
      <w:r w:rsidR="0018404A" w:rsidRPr="00485D46">
        <w:rPr>
          <w:rFonts w:ascii="Times New Roman" w:hAnsi="Times New Roman" w:cs="Times New Roman"/>
          <w:color w:val="000000" w:themeColor="text1"/>
          <w:sz w:val="24"/>
          <w:szCs w:val="24"/>
        </w:rPr>
        <w:t xml:space="preserve"> our preliminary findings to other </w:t>
      </w:r>
      <w:r w:rsidR="00963359" w:rsidRPr="00485D46">
        <w:rPr>
          <w:rFonts w:ascii="Times New Roman" w:hAnsi="Times New Roman" w:cs="Times New Roman"/>
          <w:color w:val="000000" w:themeColor="text1"/>
          <w:sz w:val="24"/>
          <w:szCs w:val="24"/>
        </w:rPr>
        <w:t>health care professionals at Glen Sather Sports Medicine Clinic</w:t>
      </w:r>
      <w:r w:rsidR="0018404A" w:rsidRPr="00485D46">
        <w:rPr>
          <w:rFonts w:ascii="Times New Roman" w:hAnsi="Times New Roman" w:cs="Times New Roman"/>
          <w:color w:val="000000" w:themeColor="text1"/>
          <w:sz w:val="24"/>
          <w:szCs w:val="24"/>
        </w:rPr>
        <w:t xml:space="preserve">, participate in conferences, and publish our final report in a peer-reviewed journal. </w:t>
      </w:r>
    </w:p>
    <w:p w14:paraId="27EA4BC9" w14:textId="77777777" w:rsidR="0018404A" w:rsidRPr="00485D46" w:rsidRDefault="0018404A" w:rsidP="005D0E2E">
      <w:pPr>
        <w:pStyle w:val="NoSpacing"/>
        <w:jc w:val="both"/>
        <w:rPr>
          <w:rFonts w:ascii="Times New Roman" w:hAnsi="Times New Roman" w:cs="Times New Roman"/>
          <w:b/>
          <w:color w:val="000000" w:themeColor="text1"/>
          <w:sz w:val="24"/>
          <w:szCs w:val="24"/>
        </w:rPr>
      </w:pPr>
    </w:p>
    <w:p w14:paraId="621AD044" w14:textId="77777777" w:rsidR="00A52016" w:rsidRPr="00485D46" w:rsidRDefault="00A52016" w:rsidP="005D0E2E">
      <w:pPr>
        <w:pStyle w:val="NoSpacing"/>
        <w:jc w:val="both"/>
        <w:rPr>
          <w:rFonts w:ascii="Times New Roman" w:hAnsi="Times New Roman" w:cs="Times New Roman"/>
          <w:b/>
          <w:color w:val="000000" w:themeColor="text1"/>
          <w:sz w:val="24"/>
          <w:szCs w:val="24"/>
        </w:rPr>
      </w:pPr>
    </w:p>
    <w:p w14:paraId="61518FE4" w14:textId="77777777" w:rsidR="00A52016" w:rsidRPr="00485D46" w:rsidRDefault="00A52016" w:rsidP="005D0E2E">
      <w:pPr>
        <w:pStyle w:val="NoSpacing"/>
        <w:jc w:val="both"/>
        <w:rPr>
          <w:rFonts w:ascii="Times New Roman" w:hAnsi="Times New Roman" w:cs="Times New Roman"/>
          <w:b/>
          <w:color w:val="000000" w:themeColor="text1"/>
          <w:sz w:val="24"/>
          <w:szCs w:val="24"/>
        </w:rPr>
      </w:pPr>
    </w:p>
    <w:p w14:paraId="5E77334B" w14:textId="39B49F57" w:rsidR="00B31EE9" w:rsidRPr="00485D46" w:rsidRDefault="00B31EE9" w:rsidP="005D0E2E">
      <w:pPr>
        <w:pStyle w:val="NoSpacing"/>
        <w:jc w:val="both"/>
        <w:rPr>
          <w:rFonts w:ascii="Times New Roman" w:hAnsi="Times New Roman" w:cs="Times New Roman"/>
          <w:b/>
          <w:color w:val="000000" w:themeColor="text1"/>
          <w:sz w:val="24"/>
          <w:szCs w:val="24"/>
        </w:rPr>
      </w:pPr>
      <w:r w:rsidRPr="00485D46">
        <w:rPr>
          <w:rFonts w:ascii="Times New Roman" w:hAnsi="Times New Roman" w:cs="Times New Roman"/>
          <w:b/>
          <w:color w:val="000000" w:themeColor="text1"/>
          <w:sz w:val="24"/>
          <w:szCs w:val="24"/>
        </w:rPr>
        <w:t>C</w:t>
      </w:r>
      <w:r w:rsidR="008D1386" w:rsidRPr="00485D46">
        <w:rPr>
          <w:rFonts w:ascii="Times New Roman" w:hAnsi="Times New Roman" w:cs="Times New Roman"/>
          <w:b/>
          <w:color w:val="000000" w:themeColor="text1"/>
          <w:sz w:val="24"/>
          <w:szCs w:val="24"/>
        </w:rPr>
        <w:t>ONCLUSION</w:t>
      </w:r>
    </w:p>
    <w:p w14:paraId="26350390" w14:textId="77777777" w:rsidR="005A3833" w:rsidRPr="00485D46" w:rsidRDefault="005A3833" w:rsidP="005D0E2E">
      <w:pPr>
        <w:pStyle w:val="NoSpacing"/>
        <w:jc w:val="both"/>
        <w:rPr>
          <w:rFonts w:ascii="Times New Roman" w:hAnsi="Times New Roman" w:cs="Times New Roman"/>
          <w:color w:val="000000" w:themeColor="text1"/>
          <w:sz w:val="24"/>
          <w:szCs w:val="24"/>
        </w:rPr>
      </w:pPr>
    </w:p>
    <w:p w14:paraId="3F1EFC96" w14:textId="138DA766" w:rsidR="00B80253" w:rsidRPr="00485D46" w:rsidRDefault="0018404A" w:rsidP="005D0E2E">
      <w:pPr>
        <w:pStyle w:val="NoSpacing"/>
        <w:jc w:val="both"/>
        <w:rPr>
          <w:rFonts w:ascii="Times New Roman" w:hAnsi="Times New Roman" w:cs="Times New Roman"/>
          <w:color w:val="000000" w:themeColor="text1"/>
          <w:sz w:val="24"/>
          <w:szCs w:val="24"/>
        </w:rPr>
      </w:pPr>
      <w:r w:rsidRPr="00485D46">
        <w:rPr>
          <w:rFonts w:ascii="Times New Roman" w:hAnsi="Times New Roman" w:cs="Times New Roman"/>
          <w:color w:val="000000" w:themeColor="text1"/>
          <w:sz w:val="24"/>
          <w:szCs w:val="24"/>
        </w:rPr>
        <w:t xml:space="preserve">This protocol forms the cornerstone to a scoping review </w:t>
      </w:r>
      <w:r w:rsidR="00FB595A" w:rsidRPr="00485D46">
        <w:rPr>
          <w:rFonts w:ascii="Times New Roman" w:hAnsi="Times New Roman" w:cs="Times New Roman"/>
          <w:color w:val="000000" w:themeColor="text1"/>
          <w:sz w:val="24"/>
          <w:szCs w:val="24"/>
        </w:rPr>
        <w:t xml:space="preserve">on the </w:t>
      </w:r>
      <w:r w:rsidR="00FB595A" w:rsidRPr="00485D46">
        <w:rPr>
          <w:rFonts w:ascii="Times New Roman" w:hAnsi="Times New Roman" w:cs="Times New Roman"/>
          <w:color w:val="0E101A"/>
          <w:sz w:val="24"/>
          <w:szCs w:val="24"/>
        </w:rPr>
        <w:t>current approaches for kinetic measurements in individuals following ACLR</w:t>
      </w:r>
      <w:r w:rsidRPr="00485D46">
        <w:rPr>
          <w:rFonts w:ascii="Times New Roman" w:hAnsi="Times New Roman" w:cs="Times New Roman"/>
          <w:color w:val="000000" w:themeColor="text1"/>
          <w:sz w:val="24"/>
          <w:szCs w:val="24"/>
        </w:rPr>
        <w:t xml:space="preserve">. The </w:t>
      </w:r>
      <w:r w:rsidR="00341683" w:rsidRPr="00485D46">
        <w:rPr>
          <w:rFonts w:ascii="Times New Roman" w:hAnsi="Times New Roman" w:cs="Times New Roman"/>
          <w:color w:val="000000" w:themeColor="text1"/>
          <w:sz w:val="24"/>
          <w:szCs w:val="24"/>
        </w:rPr>
        <w:t>study</w:t>
      </w:r>
      <w:r w:rsidRPr="00485D46">
        <w:rPr>
          <w:rFonts w:ascii="Times New Roman" w:hAnsi="Times New Roman" w:cs="Times New Roman"/>
          <w:color w:val="000000" w:themeColor="text1"/>
          <w:sz w:val="24"/>
          <w:szCs w:val="24"/>
        </w:rPr>
        <w:t xml:space="preserve"> will advance the knowledge</w:t>
      </w:r>
      <w:r w:rsidR="00DE5673" w:rsidRPr="00485D46">
        <w:rPr>
          <w:rFonts w:ascii="Times New Roman" w:hAnsi="Times New Roman" w:cs="Times New Roman"/>
          <w:color w:val="000000" w:themeColor="text1"/>
          <w:sz w:val="24"/>
          <w:szCs w:val="24"/>
        </w:rPr>
        <w:t xml:space="preserve"> of the utility of </w:t>
      </w:r>
      <w:r w:rsidR="00FB595A" w:rsidRPr="00485D46">
        <w:rPr>
          <w:rFonts w:ascii="Times New Roman" w:hAnsi="Times New Roman" w:cs="Times New Roman"/>
          <w:color w:val="000000" w:themeColor="text1"/>
          <w:sz w:val="24"/>
          <w:szCs w:val="24"/>
        </w:rPr>
        <w:t>kinetic measurement systems</w:t>
      </w:r>
      <w:r w:rsidR="00DE5673" w:rsidRPr="00485D46">
        <w:rPr>
          <w:rFonts w:ascii="Times New Roman" w:hAnsi="Times New Roman" w:cs="Times New Roman"/>
          <w:color w:val="000000" w:themeColor="text1"/>
          <w:sz w:val="24"/>
          <w:szCs w:val="24"/>
        </w:rPr>
        <w:t xml:space="preserve"> </w:t>
      </w:r>
      <w:r w:rsidR="00FB595A" w:rsidRPr="00485D46">
        <w:rPr>
          <w:rFonts w:ascii="Times New Roman" w:hAnsi="Times New Roman" w:cs="Times New Roman"/>
          <w:color w:val="000000" w:themeColor="text1"/>
          <w:sz w:val="24"/>
          <w:szCs w:val="24"/>
        </w:rPr>
        <w:t>in the</w:t>
      </w:r>
      <w:r w:rsidR="006325B9" w:rsidRPr="00485D46">
        <w:rPr>
          <w:rFonts w:ascii="Times New Roman" w:hAnsi="Times New Roman" w:cs="Times New Roman"/>
          <w:color w:val="000000" w:themeColor="text1"/>
          <w:sz w:val="24"/>
          <w:szCs w:val="24"/>
        </w:rPr>
        <w:t xml:space="preserve"> assessment of post-ACLR individuals </w:t>
      </w:r>
      <w:r w:rsidR="00DE5673" w:rsidRPr="00485D46">
        <w:rPr>
          <w:rFonts w:ascii="Times New Roman" w:hAnsi="Times New Roman" w:cs="Times New Roman"/>
          <w:color w:val="000000" w:themeColor="text1"/>
          <w:sz w:val="24"/>
          <w:szCs w:val="24"/>
        </w:rPr>
        <w:t xml:space="preserve">and </w:t>
      </w:r>
      <w:r w:rsidRPr="00485D46">
        <w:rPr>
          <w:rFonts w:ascii="Times New Roman" w:hAnsi="Times New Roman" w:cs="Times New Roman"/>
          <w:color w:val="000000" w:themeColor="text1"/>
          <w:sz w:val="24"/>
          <w:szCs w:val="24"/>
        </w:rPr>
        <w:t xml:space="preserve">identify potential gaps in the </w:t>
      </w:r>
      <w:r w:rsidR="007C6F48" w:rsidRPr="00485D46">
        <w:rPr>
          <w:rFonts w:ascii="Times New Roman" w:hAnsi="Times New Roman" w:cs="Times New Roman"/>
          <w:color w:val="000000" w:themeColor="text1"/>
          <w:sz w:val="24"/>
          <w:szCs w:val="24"/>
        </w:rPr>
        <w:t>body of evidence. Moreover, this review will examine the feasibility of conducting a future systematic review or meta-analysis.</w:t>
      </w:r>
    </w:p>
    <w:p w14:paraId="22CCDEFC" w14:textId="77777777" w:rsidR="00B80253" w:rsidRPr="00485D46" w:rsidRDefault="00B80253" w:rsidP="005D0E2E">
      <w:pPr>
        <w:pStyle w:val="NoSpacing"/>
        <w:jc w:val="both"/>
        <w:rPr>
          <w:rFonts w:ascii="Times New Roman" w:hAnsi="Times New Roman" w:cs="Times New Roman"/>
          <w:b/>
          <w:color w:val="000000" w:themeColor="text1"/>
          <w:sz w:val="24"/>
          <w:szCs w:val="24"/>
        </w:rPr>
      </w:pPr>
    </w:p>
    <w:p w14:paraId="51A812E2" w14:textId="77777777" w:rsidR="00EF3E3B" w:rsidRPr="00485D46" w:rsidRDefault="00EF3E3B" w:rsidP="00A52016">
      <w:pPr>
        <w:rPr>
          <w:b/>
          <w:color w:val="000000" w:themeColor="text1"/>
        </w:rPr>
      </w:pPr>
      <w:r w:rsidRPr="00485D46">
        <w:rPr>
          <w:b/>
          <w:color w:val="000000" w:themeColor="text1"/>
        </w:rPr>
        <w:br/>
      </w:r>
    </w:p>
    <w:p w14:paraId="0BA77FD0" w14:textId="77777777" w:rsidR="00EF3E3B" w:rsidRPr="00485D46" w:rsidRDefault="00EF3E3B">
      <w:pPr>
        <w:rPr>
          <w:b/>
          <w:color w:val="000000" w:themeColor="text1"/>
        </w:rPr>
      </w:pPr>
      <w:r w:rsidRPr="00485D46">
        <w:rPr>
          <w:b/>
          <w:color w:val="000000" w:themeColor="text1"/>
        </w:rPr>
        <w:br w:type="page"/>
      </w:r>
    </w:p>
    <w:p w14:paraId="5078E400" w14:textId="37E94922" w:rsidR="00573F56" w:rsidRPr="00485D46" w:rsidRDefault="00573F56" w:rsidP="00A52016">
      <w:pPr>
        <w:rPr>
          <w:b/>
          <w:color w:val="000000" w:themeColor="text1"/>
        </w:rPr>
      </w:pPr>
      <w:r w:rsidRPr="00485D46">
        <w:rPr>
          <w:b/>
          <w:color w:val="000000" w:themeColor="text1"/>
        </w:rPr>
        <w:lastRenderedPageBreak/>
        <w:t>REFERENCES</w:t>
      </w:r>
    </w:p>
    <w:p w14:paraId="4EE713B8" w14:textId="7862C6E1" w:rsidR="00F50321" w:rsidRPr="00F50321" w:rsidRDefault="009479B7" w:rsidP="00F50321">
      <w:pPr>
        <w:widowControl w:val="0"/>
        <w:autoSpaceDE w:val="0"/>
        <w:autoSpaceDN w:val="0"/>
        <w:adjustRightInd w:val="0"/>
        <w:ind w:left="640" w:hanging="640"/>
        <w:rPr>
          <w:noProof/>
          <w:lang w:val="en-US"/>
        </w:rPr>
      </w:pPr>
      <w:r w:rsidRPr="00485D46">
        <w:rPr>
          <w:color w:val="000000" w:themeColor="text1"/>
        </w:rPr>
        <w:fldChar w:fldCharType="begin" w:fldLock="1"/>
      </w:r>
      <w:r w:rsidRPr="00485D46">
        <w:rPr>
          <w:color w:val="000000" w:themeColor="text1"/>
        </w:rPr>
        <w:instrText xml:space="preserve">ADDIN Mendeley Bibliography CSL_BIBLIOGRAPHY </w:instrText>
      </w:r>
      <w:r w:rsidRPr="00485D46">
        <w:rPr>
          <w:color w:val="000000" w:themeColor="text1"/>
        </w:rPr>
        <w:fldChar w:fldCharType="separate"/>
      </w:r>
      <w:r w:rsidR="00F50321" w:rsidRPr="00F50321">
        <w:rPr>
          <w:noProof/>
          <w:lang w:val="en-US"/>
        </w:rPr>
        <w:t>1.</w:t>
      </w:r>
      <w:r w:rsidR="00F50321" w:rsidRPr="00F50321">
        <w:rPr>
          <w:noProof/>
          <w:lang w:val="en-US"/>
        </w:rPr>
        <w:tab/>
        <w:t xml:space="preserve">Dodson, C. C., Secrist, E. S., Bhat, S. B., Woods, D. P. &amp; Deluca, P. F. Anterior Cruciate Ligament Injuries in National Football League Athletes From 2010 to 2013: A Descriptive Epidemiology Study. </w:t>
      </w:r>
      <w:r w:rsidR="00F50321" w:rsidRPr="00F50321">
        <w:rPr>
          <w:i/>
          <w:iCs/>
          <w:noProof/>
          <w:lang w:val="en-US"/>
        </w:rPr>
        <w:t>Orthop. J. Sport. Med.</w:t>
      </w:r>
      <w:r w:rsidR="00F50321" w:rsidRPr="00F50321">
        <w:rPr>
          <w:noProof/>
          <w:lang w:val="en-US"/>
        </w:rPr>
        <w:t xml:space="preserve"> </w:t>
      </w:r>
      <w:r w:rsidR="00F50321" w:rsidRPr="00F50321">
        <w:rPr>
          <w:b/>
          <w:bCs/>
          <w:noProof/>
          <w:lang w:val="en-US"/>
        </w:rPr>
        <w:t>4</w:t>
      </w:r>
      <w:r w:rsidR="00F50321" w:rsidRPr="00F50321">
        <w:rPr>
          <w:noProof/>
          <w:lang w:val="en-US"/>
        </w:rPr>
        <w:t>, (2016).</w:t>
      </w:r>
    </w:p>
    <w:p w14:paraId="11EC6059" w14:textId="77777777" w:rsidR="00F50321" w:rsidRPr="00F50321" w:rsidRDefault="00F50321" w:rsidP="00F50321">
      <w:pPr>
        <w:widowControl w:val="0"/>
        <w:autoSpaceDE w:val="0"/>
        <w:autoSpaceDN w:val="0"/>
        <w:adjustRightInd w:val="0"/>
        <w:ind w:left="640" w:hanging="640"/>
        <w:rPr>
          <w:noProof/>
          <w:lang w:val="en-US"/>
        </w:rPr>
      </w:pPr>
      <w:r w:rsidRPr="00F50321">
        <w:rPr>
          <w:noProof/>
          <w:lang w:val="en-US"/>
        </w:rPr>
        <w:t>2.</w:t>
      </w:r>
      <w:r w:rsidRPr="00F50321">
        <w:rPr>
          <w:noProof/>
          <w:lang w:val="en-US"/>
        </w:rPr>
        <w:tab/>
        <w:t xml:space="preserve">Andernord, D. </w:t>
      </w:r>
      <w:r w:rsidRPr="00F50321">
        <w:rPr>
          <w:i/>
          <w:iCs/>
          <w:noProof/>
          <w:lang w:val="en-US"/>
        </w:rPr>
        <w:t>et al.</w:t>
      </w:r>
      <w:r w:rsidRPr="00F50321">
        <w:rPr>
          <w:noProof/>
          <w:lang w:val="en-US"/>
        </w:rPr>
        <w:t xml:space="preserve"> Timing of surgery of the anterior cruciate ligament. </w:t>
      </w:r>
      <w:r w:rsidRPr="00F50321">
        <w:rPr>
          <w:i/>
          <w:iCs/>
          <w:noProof/>
          <w:lang w:val="en-US"/>
        </w:rPr>
        <w:t>Arthroscopy - Journal of Arthroscopic and Related Surgery</w:t>
      </w:r>
      <w:r w:rsidRPr="00F50321">
        <w:rPr>
          <w:noProof/>
          <w:lang w:val="en-US"/>
        </w:rPr>
        <w:t xml:space="preserve"> </w:t>
      </w:r>
      <w:r w:rsidRPr="00F50321">
        <w:rPr>
          <w:b/>
          <w:bCs/>
          <w:noProof/>
          <w:lang w:val="en-US"/>
        </w:rPr>
        <w:t>29</w:t>
      </w:r>
      <w:r w:rsidRPr="00F50321">
        <w:rPr>
          <w:noProof/>
          <w:lang w:val="en-US"/>
        </w:rPr>
        <w:t>, 1863–1871 (2013).</w:t>
      </w:r>
    </w:p>
    <w:p w14:paraId="3438FC64" w14:textId="77777777" w:rsidR="00F50321" w:rsidRPr="00F50321" w:rsidRDefault="00F50321" w:rsidP="00F50321">
      <w:pPr>
        <w:widowControl w:val="0"/>
        <w:autoSpaceDE w:val="0"/>
        <w:autoSpaceDN w:val="0"/>
        <w:adjustRightInd w:val="0"/>
        <w:ind w:left="640" w:hanging="640"/>
        <w:rPr>
          <w:noProof/>
          <w:lang w:val="en-US"/>
        </w:rPr>
      </w:pPr>
      <w:r w:rsidRPr="00F50321">
        <w:rPr>
          <w:noProof/>
          <w:lang w:val="en-US"/>
        </w:rPr>
        <w:t>3.</w:t>
      </w:r>
      <w:r w:rsidRPr="00F50321">
        <w:rPr>
          <w:noProof/>
          <w:lang w:val="en-US"/>
        </w:rPr>
        <w:tab/>
        <w:t xml:space="preserve">Ardern, C. L., Taylor, N. F., Feller, J. A. &amp; Webster, K. E. Fifty-five per cent return to competitive sport following anterior cruciate ligament reconstruction surgery: An updated systematic review and meta-analysis including aspects of physical functioning and contextual factors. </w:t>
      </w:r>
      <w:r w:rsidRPr="00F50321">
        <w:rPr>
          <w:i/>
          <w:iCs/>
          <w:noProof/>
          <w:lang w:val="en-US"/>
        </w:rPr>
        <w:t>Br. J. Sports Med.</w:t>
      </w:r>
      <w:r w:rsidRPr="00F50321">
        <w:rPr>
          <w:noProof/>
          <w:lang w:val="en-US"/>
        </w:rPr>
        <w:t xml:space="preserve"> </w:t>
      </w:r>
      <w:r w:rsidRPr="00F50321">
        <w:rPr>
          <w:b/>
          <w:bCs/>
          <w:noProof/>
          <w:lang w:val="en-US"/>
        </w:rPr>
        <w:t>48</w:t>
      </w:r>
      <w:r w:rsidRPr="00F50321">
        <w:rPr>
          <w:noProof/>
          <w:lang w:val="en-US"/>
        </w:rPr>
        <w:t>, 1543–1552 (2014).</w:t>
      </w:r>
    </w:p>
    <w:p w14:paraId="09375BCD" w14:textId="77777777" w:rsidR="00F50321" w:rsidRPr="00F50321" w:rsidRDefault="00F50321" w:rsidP="00F50321">
      <w:pPr>
        <w:widowControl w:val="0"/>
        <w:autoSpaceDE w:val="0"/>
        <w:autoSpaceDN w:val="0"/>
        <w:adjustRightInd w:val="0"/>
        <w:ind w:left="640" w:hanging="640"/>
        <w:rPr>
          <w:noProof/>
          <w:lang w:val="en-US"/>
        </w:rPr>
      </w:pPr>
      <w:r w:rsidRPr="00F50321">
        <w:rPr>
          <w:noProof/>
          <w:lang w:val="en-US"/>
        </w:rPr>
        <w:t>4.</w:t>
      </w:r>
      <w:r w:rsidRPr="00F50321">
        <w:rPr>
          <w:noProof/>
          <w:lang w:val="en-US"/>
        </w:rPr>
        <w:tab/>
        <w:t xml:space="preserve">Waldén, M., Hägglund, M., Magnusson, H. &amp; Ekstrand, J. ACL injuries in men’s professional football: A 15-year prospective study on time trends and return-to-play rates reveals only 65% of players still play at the top level 3 years after ACL rupture. </w:t>
      </w:r>
      <w:r w:rsidRPr="00F50321">
        <w:rPr>
          <w:i/>
          <w:iCs/>
          <w:noProof/>
          <w:lang w:val="en-US"/>
        </w:rPr>
        <w:t>Br. J. Sports Med.</w:t>
      </w:r>
      <w:r w:rsidRPr="00F50321">
        <w:rPr>
          <w:noProof/>
          <w:lang w:val="en-US"/>
        </w:rPr>
        <w:t xml:space="preserve"> </w:t>
      </w:r>
      <w:r w:rsidRPr="00F50321">
        <w:rPr>
          <w:b/>
          <w:bCs/>
          <w:noProof/>
          <w:lang w:val="en-US"/>
        </w:rPr>
        <w:t>50</w:t>
      </w:r>
      <w:r w:rsidRPr="00F50321">
        <w:rPr>
          <w:noProof/>
          <w:lang w:val="en-US"/>
        </w:rPr>
        <w:t>, 744–750 (2016).</w:t>
      </w:r>
    </w:p>
    <w:p w14:paraId="2BC9884A" w14:textId="77777777" w:rsidR="00F50321" w:rsidRPr="00F50321" w:rsidRDefault="00F50321" w:rsidP="00F50321">
      <w:pPr>
        <w:widowControl w:val="0"/>
        <w:autoSpaceDE w:val="0"/>
        <w:autoSpaceDN w:val="0"/>
        <w:adjustRightInd w:val="0"/>
        <w:ind w:left="640" w:hanging="640"/>
        <w:rPr>
          <w:noProof/>
          <w:lang w:val="en-US"/>
        </w:rPr>
      </w:pPr>
      <w:r w:rsidRPr="00F50321">
        <w:rPr>
          <w:noProof/>
          <w:lang w:val="en-US"/>
        </w:rPr>
        <w:t>5.</w:t>
      </w:r>
      <w:r w:rsidRPr="00F50321">
        <w:rPr>
          <w:noProof/>
          <w:lang w:val="en-US"/>
        </w:rPr>
        <w:tab/>
        <w:t xml:space="preserve">Wiggins, A. J. </w:t>
      </w:r>
      <w:r w:rsidRPr="00F50321">
        <w:rPr>
          <w:i/>
          <w:iCs/>
          <w:noProof/>
          <w:lang w:val="en-US"/>
        </w:rPr>
        <w:t>et al.</w:t>
      </w:r>
      <w:r w:rsidRPr="00F50321">
        <w:rPr>
          <w:noProof/>
          <w:lang w:val="en-US"/>
        </w:rPr>
        <w:t xml:space="preserve"> Risk of Secondary Injury in Younger Athletes after Anterior Cruciate Ligament Reconstruction. </w:t>
      </w:r>
      <w:r w:rsidRPr="00F50321">
        <w:rPr>
          <w:i/>
          <w:iCs/>
          <w:noProof/>
          <w:lang w:val="en-US"/>
        </w:rPr>
        <w:t>American Journal of Sports Medicine</w:t>
      </w:r>
      <w:r w:rsidRPr="00F50321">
        <w:rPr>
          <w:noProof/>
          <w:lang w:val="en-US"/>
        </w:rPr>
        <w:t xml:space="preserve"> </w:t>
      </w:r>
      <w:r w:rsidRPr="00F50321">
        <w:rPr>
          <w:b/>
          <w:bCs/>
          <w:noProof/>
          <w:lang w:val="en-US"/>
        </w:rPr>
        <w:t>44</w:t>
      </w:r>
      <w:r w:rsidRPr="00F50321">
        <w:rPr>
          <w:noProof/>
          <w:lang w:val="en-US"/>
        </w:rPr>
        <w:t>, 1861–1876 (2016).</w:t>
      </w:r>
    </w:p>
    <w:p w14:paraId="6D7E36ED" w14:textId="77777777" w:rsidR="00F50321" w:rsidRPr="00F50321" w:rsidRDefault="00F50321" w:rsidP="00F50321">
      <w:pPr>
        <w:widowControl w:val="0"/>
        <w:autoSpaceDE w:val="0"/>
        <w:autoSpaceDN w:val="0"/>
        <w:adjustRightInd w:val="0"/>
        <w:ind w:left="640" w:hanging="640"/>
        <w:rPr>
          <w:noProof/>
          <w:lang w:val="en-US"/>
        </w:rPr>
      </w:pPr>
      <w:r w:rsidRPr="00F50321">
        <w:rPr>
          <w:noProof/>
          <w:lang w:val="en-US"/>
        </w:rPr>
        <w:t>6.</w:t>
      </w:r>
      <w:r w:rsidRPr="00F50321">
        <w:rPr>
          <w:noProof/>
          <w:lang w:val="en-US"/>
        </w:rPr>
        <w:tab/>
        <w:t xml:space="preserve">Zaffagnini, S., Grassi, A., Serra, M. &amp; Marcacci, M. Return to sport after ACL reconstruction: How, when and why? A narrative review of current evidence. </w:t>
      </w:r>
      <w:r w:rsidRPr="00F50321">
        <w:rPr>
          <w:i/>
          <w:iCs/>
          <w:noProof/>
          <w:lang w:val="en-US"/>
        </w:rPr>
        <w:t>Joints</w:t>
      </w:r>
      <w:r w:rsidRPr="00F50321">
        <w:rPr>
          <w:noProof/>
          <w:lang w:val="en-US"/>
        </w:rPr>
        <w:t xml:space="preserve"> </w:t>
      </w:r>
      <w:r w:rsidRPr="00F50321">
        <w:rPr>
          <w:b/>
          <w:bCs/>
          <w:noProof/>
          <w:lang w:val="en-US"/>
        </w:rPr>
        <w:t>3</w:t>
      </w:r>
      <w:r w:rsidRPr="00F50321">
        <w:rPr>
          <w:noProof/>
          <w:lang w:val="en-US"/>
        </w:rPr>
        <w:t>, 25–30 (2015).</w:t>
      </w:r>
    </w:p>
    <w:p w14:paraId="1E0E1D35" w14:textId="77777777" w:rsidR="00F50321" w:rsidRPr="00F50321" w:rsidRDefault="00F50321" w:rsidP="00F50321">
      <w:pPr>
        <w:widowControl w:val="0"/>
        <w:autoSpaceDE w:val="0"/>
        <w:autoSpaceDN w:val="0"/>
        <w:adjustRightInd w:val="0"/>
        <w:ind w:left="640" w:hanging="640"/>
        <w:rPr>
          <w:noProof/>
          <w:lang w:val="en-US"/>
        </w:rPr>
      </w:pPr>
      <w:r w:rsidRPr="00F50321">
        <w:rPr>
          <w:noProof/>
          <w:lang w:val="en-US"/>
        </w:rPr>
        <w:t>7.</w:t>
      </w:r>
      <w:r w:rsidRPr="00F50321">
        <w:rPr>
          <w:noProof/>
          <w:lang w:val="en-US"/>
        </w:rPr>
        <w:tab/>
        <w:t xml:space="preserve">Zaffagnini, S. </w:t>
      </w:r>
      <w:r w:rsidRPr="00F50321">
        <w:rPr>
          <w:i/>
          <w:iCs/>
          <w:noProof/>
          <w:lang w:val="en-US"/>
        </w:rPr>
        <w:t>et al.</w:t>
      </w:r>
      <w:r w:rsidRPr="00F50321">
        <w:rPr>
          <w:noProof/>
          <w:lang w:val="en-US"/>
        </w:rPr>
        <w:t xml:space="preserve"> Return to sport after anterior cruciate ligament reconstruction in professional soccer players. </w:t>
      </w:r>
      <w:r w:rsidRPr="00F50321">
        <w:rPr>
          <w:i/>
          <w:iCs/>
          <w:noProof/>
          <w:lang w:val="en-US"/>
        </w:rPr>
        <w:t>Knee</w:t>
      </w:r>
      <w:r w:rsidRPr="00F50321">
        <w:rPr>
          <w:noProof/>
          <w:lang w:val="en-US"/>
        </w:rPr>
        <w:t xml:space="preserve"> </w:t>
      </w:r>
      <w:r w:rsidRPr="00F50321">
        <w:rPr>
          <w:b/>
          <w:bCs/>
          <w:noProof/>
          <w:lang w:val="en-US"/>
        </w:rPr>
        <w:t>21</w:t>
      </w:r>
      <w:r w:rsidRPr="00F50321">
        <w:rPr>
          <w:noProof/>
          <w:lang w:val="en-US"/>
        </w:rPr>
        <w:t>, 731–735 (2014).</w:t>
      </w:r>
    </w:p>
    <w:p w14:paraId="1E833E84" w14:textId="77777777" w:rsidR="00F50321" w:rsidRPr="00F50321" w:rsidRDefault="00F50321" w:rsidP="00F50321">
      <w:pPr>
        <w:widowControl w:val="0"/>
        <w:autoSpaceDE w:val="0"/>
        <w:autoSpaceDN w:val="0"/>
        <w:adjustRightInd w:val="0"/>
        <w:ind w:left="640" w:hanging="640"/>
        <w:rPr>
          <w:noProof/>
          <w:lang w:val="en-US"/>
        </w:rPr>
      </w:pPr>
      <w:r w:rsidRPr="00F50321">
        <w:rPr>
          <w:noProof/>
          <w:lang w:val="en-US"/>
        </w:rPr>
        <w:t>8.</w:t>
      </w:r>
      <w:r w:rsidRPr="00F50321">
        <w:rPr>
          <w:noProof/>
          <w:lang w:val="en-US"/>
        </w:rPr>
        <w:tab/>
        <w:t xml:space="preserve">Rambaud, A. J. M. M., Ardern, C. L., Thoreux, P., Regnaux, J.-P. P. &amp; Edouard, P. Criteria for return to running after anterior cruciate ligament reconstruction: a scoping review. </w:t>
      </w:r>
      <w:r w:rsidRPr="00F50321">
        <w:rPr>
          <w:i/>
          <w:iCs/>
          <w:noProof/>
          <w:lang w:val="en-US"/>
        </w:rPr>
        <w:t>Br. J. Sports Med.</w:t>
      </w:r>
      <w:r w:rsidRPr="00F50321">
        <w:rPr>
          <w:noProof/>
          <w:lang w:val="en-US"/>
        </w:rPr>
        <w:t xml:space="preserve"> </w:t>
      </w:r>
      <w:r w:rsidRPr="00F50321">
        <w:rPr>
          <w:b/>
          <w:bCs/>
          <w:noProof/>
          <w:lang w:val="en-US"/>
        </w:rPr>
        <w:t>52</w:t>
      </w:r>
      <w:r w:rsidRPr="00F50321">
        <w:rPr>
          <w:noProof/>
          <w:lang w:val="en-US"/>
        </w:rPr>
        <w:t>, 1437–1444 (2018).</w:t>
      </w:r>
    </w:p>
    <w:p w14:paraId="2C0213A3" w14:textId="77777777" w:rsidR="00F50321" w:rsidRPr="00F50321" w:rsidRDefault="00F50321" w:rsidP="00F50321">
      <w:pPr>
        <w:widowControl w:val="0"/>
        <w:autoSpaceDE w:val="0"/>
        <w:autoSpaceDN w:val="0"/>
        <w:adjustRightInd w:val="0"/>
        <w:ind w:left="640" w:hanging="640"/>
        <w:rPr>
          <w:noProof/>
          <w:lang w:val="en-US"/>
        </w:rPr>
      </w:pPr>
      <w:r w:rsidRPr="00F50321">
        <w:rPr>
          <w:noProof/>
          <w:lang w:val="en-US"/>
        </w:rPr>
        <w:t>9.</w:t>
      </w:r>
      <w:r w:rsidRPr="00F50321">
        <w:rPr>
          <w:noProof/>
          <w:lang w:val="en-US"/>
        </w:rPr>
        <w:tab/>
        <w:t xml:space="preserve">Burgi, C. R. </w:t>
      </w:r>
      <w:r w:rsidRPr="00F50321">
        <w:rPr>
          <w:i/>
          <w:iCs/>
          <w:noProof/>
          <w:lang w:val="en-US"/>
        </w:rPr>
        <w:t>et al.</w:t>
      </w:r>
      <w:r w:rsidRPr="00F50321">
        <w:rPr>
          <w:noProof/>
          <w:lang w:val="en-US"/>
        </w:rPr>
        <w:t xml:space="preserve"> Which criteria are used to clear patients to return to sport after primary ACL reconstruction? A scoping review. </w:t>
      </w:r>
      <w:r w:rsidRPr="00F50321">
        <w:rPr>
          <w:i/>
          <w:iCs/>
          <w:noProof/>
          <w:lang w:val="en-US"/>
        </w:rPr>
        <w:t>Br. J. Sports Med.</w:t>
      </w:r>
      <w:r w:rsidRPr="00F50321">
        <w:rPr>
          <w:noProof/>
          <w:lang w:val="en-US"/>
        </w:rPr>
        <w:t xml:space="preserve"> </w:t>
      </w:r>
      <w:r w:rsidRPr="00F50321">
        <w:rPr>
          <w:b/>
          <w:bCs/>
          <w:noProof/>
          <w:lang w:val="en-US"/>
        </w:rPr>
        <w:t>53</w:t>
      </w:r>
      <w:r w:rsidRPr="00F50321">
        <w:rPr>
          <w:noProof/>
          <w:lang w:val="en-US"/>
        </w:rPr>
        <w:t>, 1154–1161 (2019).</w:t>
      </w:r>
    </w:p>
    <w:p w14:paraId="66B82B34" w14:textId="77777777" w:rsidR="00F50321" w:rsidRPr="00F50321" w:rsidRDefault="00F50321" w:rsidP="00F50321">
      <w:pPr>
        <w:widowControl w:val="0"/>
        <w:autoSpaceDE w:val="0"/>
        <w:autoSpaceDN w:val="0"/>
        <w:adjustRightInd w:val="0"/>
        <w:ind w:left="640" w:hanging="640"/>
        <w:rPr>
          <w:noProof/>
          <w:lang w:val="en-US"/>
        </w:rPr>
      </w:pPr>
      <w:r w:rsidRPr="00F50321">
        <w:rPr>
          <w:noProof/>
          <w:lang w:val="en-US"/>
        </w:rPr>
        <w:t>10.</w:t>
      </w:r>
      <w:r w:rsidRPr="00F50321">
        <w:rPr>
          <w:noProof/>
          <w:lang w:val="en-US"/>
        </w:rPr>
        <w:tab/>
        <w:t xml:space="preserve">Kyritsis, P., Bahr, R., Landreau, P., Miladi, R. &amp; Witvrouw, E. Likelihood of ACL graft rupture: not meeting six clinical discharge criteria before return to sport is associated with a four times greater risk of rupture. </w:t>
      </w:r>
      <w:r w:rsidRPr="00F50321">
        <w:rPr>
          <w:i/>
          <w:iCs/>
          <w:noProof/>
          <w:lang w:val="en-US"/>
        </w:rPr>
        <w:t>Br. J. Sports Med.</w:t>
      </w:r>
      <w:r w:rsidRPr="00F50321">
        <w:rPr>
          <w:noProof/>
          <w:lang w:val="en-US"/>
        </w:rPr>
        <w:t xml:space="preserve"> </w:t>
      </w:r>
      <w:r w:rsidRPr="00F50321">
        <w:rPr>
          <w:b/>
          <w:bCs/>
          <w:noProof/>
          <w:lang w:val="en-US"/>
        </w:rPr>
        <w:t>50</w:t>
      </w:r>
      <w:r w:rsidRPr="00F50321">
        <w:rPr>
          <w:noProof/>
          <w:lang w:val="en-US"/>
        </w:rPr>
        <w:t>, 946–951 (2016).</w:t>
      </w:r>
    </w:p>
    <w:p w14:paraId="425E65AC" w14:textId="77777777" w:rsidR="00F50321" w:rsidRPr="00F50321" w:rsidRDefault="00F50321" w:rsidP="00F50321">
      <w:pPr>
        <w:widowControl w:val="0"/>
        <w:autoSpaceDE w:val="0"/>
        <w:autoSpaceDN w:val="0"/>
        <w:adjustRightInd w:val="0"/>
        <w:ind w:left="640" w:hanging="640"/>
        <w:rPr>
          <w:noProof/>
          <w:lang w:val="en-US"/>
        </w:rPr>
      </w:pPr>
      <w:r w:rsidRPr="00F50321">
        <w:rPr>
          <w:noProof/>
          <w:lang w:val="en-US"/>
        </w:rPr>
        <w:t>11.</w:t>
      </w:r>
      <w:r w:rsidRPr="00F50321">
        <w:rPr>
          <w:noProof/>
          <w:lang w:val="en-US"/>
        </w:rPr>
        <w:tab/>
        <w:t xml:space="preserve">Prapavessis, H. &amp; Mcnair, P. ). </w:t>
      </w:r>
      <w:r w:rsidRPr="00F50321">
        <w:rPr>
          <w:i/>
          <w:iCs/>
          <w:noProof/>
          <w:lang w:val="en-US"/>
        </w:rPr>
        <w:t>Effects of Instruction in Jumping Technique and Experience Jumping on Ground Reaction Forces</w:t>
      </w:r>
      <w:r w:rsidRPr="00F50321">
        <w:rPr>
          <w:noProof/>
          <w:lang w:val="en-US"/>
        </w:rPr>
        <w:t xml:space="preserve">. </w:t>
      </w:r>
      <w:r w:rsidRPr="00F50321">
        <w:rPr>
          <w:i/>
          <w:iCs/>
          <w:noProof/>
          <w:lang w:val="en-US"/>
        </w:rPr>
        <w:t>Journal of Orthopaedic &amp; Sports Physical Therapy</w:t>
      </w:r>
      <w:r w:rsidRPr="00F50321">
        <w:rPr>
          <w:noProof/>
          <w:lang w:val="en-US"/>
        </w:rPr>
        <w:t xml:space="preserve"> </w:t>
      </w:r>
      <w:r w:rsidRPr="00F50321">
        <w:rPr>
          <w:b/>
          <w:bCs/>
          <w:noProof/>
          <w:lang w:val="en-US"/>
        </w:rPr>
        <w:t>999</w:t>
      </w:r>
      <w:r w:rsidRPr="00F50321">
        <w:rPr>
          <w:noProof/>
          <w:lang w:val="en-US"/>
        </w:rPr>
        <w:t>, (1999).</w:t>
      </w:r>
    </w:p>
    <w:p w14:paraId="3A6F5405" w14:textId="77777777" w:rsidR="00F50321" w:rsidRPr="00F50321" w:rsidRDefault="00F50321" w:rsidP="00F50321">
      <w:pPr>
        <w:widowControl w:val="0"/>
        <w:autoSpaceDE w:val="0"/>
        <w:autoSpaceDN w:val="0"/>
        <w:adjustRightInd w:val="0"/>
        <w:ind w:left="640" w:hanging="640"/>
        <w:rPr>
          <w:noProof/>
          <w:lang w:val="en-US"/>
        </w:rPr>
      </w:pPr>
      <w:r w:rsidRPr="00F50321">
        <w:rPr>
          <w:noProof/>
          <w:lang w:val="en-US"/>
        </w:rPr>
        <w:t>12.</w:t>
      </w:r>
      <w:r w:rsidRPr="00F50321">
        <w:rPr>
          <w:noProof/>
          <w:lang w:val="en-US"/>
        </w:rPr>
        <w:tab/>
        <w:t xml:space="preserve">Ferdowsi, F. </w:t>
      </w:r>
      <w:r w:rsidRPr="00F50321">
        <w:rPr>
          <w:i/>
          <w:iCs/>
          <w:noProof/>
          <w:lang w:val="en-US"/>
        </w:rPr>
        <w:t>et al.</w:t>
      </w:r>
      <w:r w:rsidRPr="00F50321">
        <w:rPr>
          <w:noProof/>
          <w:lang w:val="en-US"/>
        </w:rPr>
        <w:t xml:space="preserve"> The reliability of postural control method in athletes with and without ACL reconstruction: a transitional task. </w:t>
      </w:r>
      <w:r w:rsidRPr="00F50321">
        <w:rPr>
          <w:i/>
          <w:iCs/>
          <w:noProof/>
          <w:lang w:val="en-US"/>
        </w:rPr>
        <w:t>J. Phys. Ther. Sci.</w:t>
      </w:r>
      <w:r w:rsidRPr="00F50321">
        <w:rPr>
          <w:noProof/>
          <w:lang w:val="en-US"/>
        </w:rPr>
        <w:t xml:space="preserve"> </w:t>
      </w:r>
      <w:r w:rsidRPr="00F50321">
        <w:rPr>
          <w:b/>
          <w:bCs/>
          <w:noProof/>
          <w:lang w:val="en-US"/>
        </w:rPr>
        <w:t>30</w:t>
      </w:r>
      <w:r w:rsidRPr="00F50321">
        <w:rPr>
          <w:noProof/>
          <w:lang w:val="en-US"/>
        </w:rPr>
        <w:t>, 896–901 (2018).</w:t>
      </w:r>
    </w:p>
    <w:p w14:paraId="5BF72A2B" w14:textId="77777777" w:rsidR="00F50321" w:rsidRPr="00F50321" w:rsidRDefault="00F50321" w:rsidP="00F50321">
      <w:pPr>
        <w:widowControl w:val="0"/>
        <w:autoSpaceDE w:val="0"/>
        <w:autoSpaceDN w:val="0"/>
        <w:adjustRightInd w:val="0"/>
        <w:ind w:left="640" w:hanging="640"/>
        <w:rPr>
          <w:noProof/>
          <w:lang w:val="en-US"/>
        </w:rPr>
      </w:pPr>
      <w:r w:rsidRPr="00F50321">
        <w:rPr>
          <w:noProof/>
          <w:lang w:val="en-US"/>
        </w:rPr>
        <w:t>13.</w:t>
      </w:r>
      <w:r w:rsidRPr="00F50321">
        <w:rPr>
          <w:noProof/>
          <w:lang w:val="en-US"/>
        </w:rPr>
        <w:tab/>
        <w:t xml:space="preserve">Ahmadi, P., Salehi, R., Mehravar, M., Goharpey, S. &amp; Negahban, H. Comparing the effects of external focus of attention and continuous cognitive task on postural control in anterior cruciate ligament reconstructed athletes. </w:t>
      </w:r>
      <w:r w:rsidRPr="00F50321">
        <w:rPr>
          <w:i/>
          <w:iCs/>
          <w:noProof/>
          <w:lang w:val="en-US"/>
        </w:rPr>
        <w:t>Neurosci. Lett.</w:t>
      </w:r>
      <w:r w:rsidRPr="00F50321">
        <w:rPr>
          <w:noProof/>
          <w:lang w:val="en-US"/>
        </w:rPr>
        <w:t xml:space="preserve"> </w:t>
      </w:r>
      <w:r w:rsidRPr="00F50321">
        <w:rPr>
          <w:b/>
          <w:bCs/>
          <w:noProof/>
          <w:lang w:val="en-US"/>
        </w:rPr>
        <w:t>715</w:t>
      </w:r>
      <w:r w:rsidRPr="00F50321">
        <w:rPr>
          <w:noProof/>
          <w:lang w:val="en-US"/>
        </w:rPr>
        <w:t>, (2020).</w:t>
      </w:r>
    </w:p>
    <w:p w14:paraId="3419921B" w14:textId="77777777" w:rsidR="00F50321" w:rsidRPr="00F50321" w:rsidRDefault="00F50321" w:rsidP="00F50321">
      <w:pPr>
        <w:widowControl w:val="0"/>
        <w:autoSpaceDE w:val="0"/>
        <w:autoSpaceDN w:val="0"/>
        <w:adjustRightInd w:val="0"/>
        <w:ind w:left="640" w:hanging="640"/>
        <w:rPr>
          <w:noProof/>
          <w:lang w:val="en-US"/>
        </w:rPr>
      </w:pPr>
      <w:r w:rsidRPr="00F50321">
        <w:rPr>
          <w:noProof/>
          <w:lang w:val="en-US"/>
        </w:rPr>
        <w:t>14.</w:t>
      </w:r>
      <w:r w:rsidRPr="00F50321">
        <w:rPr>
          <w:noProof/>
          <w:lang w:val="en-US"/>
        </w:rPr>
        <w:tab/>
        <w:t xml:space="preserve">Shi, H. </w:t>
      </w:r>
      <w:r w:rsidRPr="00F50321">
        <w:rPr>
          <w:i/>
          <w:iCs/>
          <w:noProof/>
          <w:lang w:val="en-US"/>
        </w:rPr>
        <w:t>et al.</w:t>
      </w:r>
      <w:r w:rsidRPr="00F50321">
        <w:rPr>
          <w:noProof/>
          <w:lang w:val="en-US"/>
        </w:rPr>
        <w:t xml:space="preserve"> Effect of dual task on gait asymmetry in patients after anterior cruciate ligament reconstruction. </w:t>
      </w:r>
      <w:r w:rsidRPr="00F50321">
        <w:rPr>
          <w:i/>
          <w:iCs/>
          <w:noProof/>
          <w:lang w:val="en-US"/>
        </w:rPr>
        <w:t>Sci. Rep.</w:t>
      </w:r>
      <w:r w:rsidRPr="00F50321">
        <w:rPr>
          <w:noProof/>
          <w:lang w:val="en-US"/>
        </w:rPr>
        <w:t xml:space="preserve"> </w:t>
      </w:r>
      <w:r w:rsidRPr="00F50321">
        <w:rPr>
          <w:b/>
          <w:bCs/>
          <w:noProof/>
          <w:lang w:val="en-US"/>
        </w:rPr>
        <w:t>8</w:t>
      </w:r>
      <w:r w:rsidRPr="00F50321">
        <w:rPr>
          <w:noProof/>
          <w:lang w:val="en-US"/>
        </w:rPr>
        <w:t>, 12057 (2018).</w:t>
      </w:r>
    </w:p>
    <w:p w14:paraId="5406F185" w14:textId="77777777" w:rsidR="00F50321" w:rsidRPr="00F50321" w:rsidRDefault="00F50321" w:rsidP="00F50321">
      <w:pPr>
        <w:widowControl w:val="0"/>
        <w:autoSpaceDE w:val="0"/>
        <w:autoSpaceDN w:val="0"/>
        <w:adjustRightInd w:val="0"/>
        <w:ind w:left="640" w:hanging="640"/>
        <w:rPr>
          <w:noProof/>
          <w:lang w:val="en-US"/>
        </w:rPr>
      </w:pPr>
      <w:r w:rsidRPr="00F50321">
        <w:rPr>
          <w:noProof/>
          <w:lang w:val="en-US"/>
        </w:rPr>
        <w:t>15.</w:t>
      </w:r>
      <w:r w:rsidRPr="00F50321">
        <w:rPr>
          <w:noProof/>
          <w:lang w:val="en-US"/>
        </w:rPr>
        <w:tab/>
        <w:t xml:space="preserve">Lisee, C. </w:t>
      </w:r>
      <w:r w:rsidRPr="00F50321">
        <w:rPr>
          <w:i/>
          <w:iCs/>
          <w:noProof/>
          <w:lang w:val="en-US"/>
        </w:rPr>
        <w:t>et al.</w:t>
      </w:r>
      <w:r w:rsidRPr="00F50321">
        <w:rPr>
          <w:noProof/>
          <w:lang w:val="en-US"/>
        </w:rPr>
        <w:t xml:space="preserve"> The Relationship Between Vertical Ground Reaction Force, Loading Rate, and Sound Characteristics During a Single-Leg Landing. </w:t>
      </w:r>
      <w:r w:rsidRPr="00F50321">
        <w:rPr>
          <w:i/>
          <w:iCs/>
          <w:noProof/>
          <w:lang w:val="en-US"/>
        </w:rPr>
        <w:t>J. Sport Rehabil.</w:t>
      </w:r>
      <w:r w:rsidRPr="00F50321">
        <w:rPr>
          <w:noProof/>
          <w:lang w:val="en-US"/>
        </w:rPr>
        <w:t xml:space="preserve"> 1–6 (2019). doi:10.1123/jsr.2018-0260</w:t>
      </w:r>
    </w:p>
    <w:p w14:paraId="296C61BF" w14:textId="77777777" w:rsidR="00F50321" w:rsidRPr="00F50321" w:rsidRDefault="00F50321" w:rsidP="00F50321">
      <w:pPr>
        <w:widowControl w:val="0"/>
        <w:autoSpaceDE w:val="0"/>
        <w:autoSpaceDN w:val="0"/>
        <w:adjustRightInd w:val="0"/>
        <w:ind w:left="640" w:hanging="640"/>
        <w:rPr>
          <w:noProof/>
          <w:lang w:val="en-US"/>
        </w:rPr>
      </w:pPr>
      <w:r w:rsidRPr="00F50321">
        <w:rPr>
          <w:noProof/>
          <w:lang w:val="en-US"/>
        </w:rPr>
        <w:t>16.</w:t>
      </w:r>
      <w:r w:rsidRPr="00F50321">
        <w:rPr>
          <w:noProof/>
          <w:lang w:val="en-US"/>
        </w:rPr>
        <w:tab/>
        <w:t xml:space="preserve">Chavda, S. </w:t>
      </w:r>
      <w:r w:rsidRPr="00F50321">
        <w:rPr>
          <w:i/>
          <w:iCs/>
          <w:noProof/>
          <w:lang w:val="en-US"/>
        </w:rPr>
        <w:t>et al.</w:t>
      </w:r>
      <w:r w:rsidRPr="00F50321">
        <w:rPr>
          <w:noProof/>
          <w:lang w:val="en-US"/>
        </w:rPr>
        <w:t xml:space="preserve"> Force-Time Characteristics of the Countermovement Jump. </w:t>
      </w:r>
      <w:r w:rsidRPr="00F50321">
        <w:rPr>
          <w:i/>
          <w:iCs/>
          <w:noProof/>
          <w:lang w:val="en-US"/>
        </w:rPr>
        <w:t>Strength Cond. J.</w:t>
      </w:r>
      <w:r w:rsidRPr="00F50321">
        <w:rPr>
          <w:noProof/>
          <w:lang w:val="en-US"/>
        </w:rPr>
        <w:t xml:space="preserve"> </w:t>
      </w:r>
      <w:r w:rsidRPr="00F50321">
        <w:rPr>
          <w:b/>
          <w:bCs/>
          <w:noProof/>
          <w:lang w:val="en-US"/>
        </w:rPr>
        <w:t>40</w:t>
      </w:r>
      <w:r w:rsidRPr="00F50321">
        <w:rPr>
          <w:noProof/>
          <w:lang w:val="en-US"/>
        </w:rPr>
        <w:t>, 67–77 (2018).</w:t>
      </w:r>
    </w:p>
    <w:p w14:paraId="3DEE9B7A" w14:textId="77777777" w:rsidR="00F50321" w:rsidRPr="00F50321" w:rsidRDefault="00F50321" w:rsidP="00F50321">
      <w:pPr>
        <w:widowControl w:val="0"/>
        <w:autoSpaceDE w:val="0"/>
        <w:autoSpaceDN w:val="0"/>
        <w:adjustRightInd w:val="0"/>
        <w:ind w:left="640" w:hanging="640"/>
        <w:rPr>
          <w:noProof/>
          <w:lang w:val="en-US"/>
        </w:rPr>
      </w:pPr>
      <w:r w:rsidRPr="00F50321">
        <w:rPr>
          <w:noProof/>
          <w:lang w:val="en-US"/>
        </w:rPr>
        <w:t>17.</w:t>
      </w:r>
      <w:r w:rsidRPr="00F50321">
        <w:rPr>
          <w:noProof/>
          <w:lang w:val="en-US"/>
        </w:rPr>
        <w:tab/>
        <w:t xml:space="preserve">Head, P. L. </w:t>
      </w:r>
      <w:r w:rsidRPr="00F50321">
        <w:rPr>
          <w:i/>
          <w:iCs/>
          <w:noProof/>
          <w:lang w:val="en-US"/>
        </w:rPr>
        <w:t>et al.</w:t>
      </w:r>
      <w:r w:rsidRPr="00F50321">
        <w:rPr>
          <w:noProof/>
          <w:lang w:val="en-US"/>
        </w:rPr>
        <w:t xml:space="preserve"> Anterior cruciate ligament reconstruction and dynamic stability at time of release for return to sport. </w:t>
      </w:r>
      <w:r w:rsidRPr="00F50321">
        <w:rPr>
          <w:i/>
          <w:iCs/>
          <w:noProof/>
          <w:lang w:val="en-US"/>
        </w:rPr>
        <w:t>Physical Therapy in Sport</w:t>
      </w:r>
      <w:r w:rsidRPr="00F50321">
        <w:rPr>
          <w:noProof/>
          <w:lang w:val="en-US"/>
        </w:rPr>
        <w:t xml:space="preserve"> </w:t>
      </w:r>
      <w:r w:rsidRPr="00F50321">
        <w:rPr>
          <w:b/>
          <w:bCs/>
          <w:noProof/>
          <w:lang w:val="en-US"/>
        </w:rPr>
        <w:t>38</w:t>
      </w:r>
      <w:r w:rsidRPr="00F50321">
        <w:rPr>
          <w:noProof/>
          <w:lang w:val="en-US"/>
        </w:rPr>
        <w:t>, 80–86 (2019).</w:t>
      </w:r>
    </w:p>
    <w:p w14:paraId="05CF6EEA" w14:textId="77777777" w:rsidR="00F50321" w:rsidRPr="00F50321" w:rsidRDefault="00F50321" w:rsidP="00F50321">
      <w:pPr>
        <w:widowControl w:val="0"/>
        <w:autoSpaceDE w:val="0"/>
        <w:autoSpaceDN w:val="0"/>
        <w:adjustRightInd w:val="0"/>
        <w:ind w:left="640" w:hanging="640"/>
        <w:rPr>
          <w:noProof/>
          <w:lang w:val="en-US"/>
        </w:rPr>
      </w:pPr>
      <w:r w:rsidRPr="00F50321">
        <w:rPr>
          <w:noProof/>
          <w:lang w:val="en-US"/>
        </w:rPr>
        <w:t>18.</w:t>
      </w:r>
      <w:r w:rsidRPr="00F50321">
        <w:rPr>
          <w:noProof/>
          <w:lang w:val="en-US"/>
        </w:rPr>
        <w:tab/>
        <w:t xml:space="preserve">Arksey, H. &amp; O’Malley, L. Scoping studies: towards a methodological framework. </w:t>
      </w:r>
      <w:r w:rsidRPr="00F50321">
        <w:rPr>
          <w:i/>
          <w:iCs/>
          <w:noProof/>
          <w:lang w:val="en-US"/>
        </w:rPr>
        <w:t>Int. J. Soc. Res. Methodol.</w:t>
      </w:r>
      <w:r w:rsidRPr="00F50321">
        <w:rPr>
          <w:noProof/>
          <w:lang w:val="en-US"/>
        </w:rPr>
        <w:t xml:space="preserve"> </w:t>
      </w:r>
      <w:r w:rsidRPr="00F50321">
        <w:rPr>
          <w:b/>
          <w:bCs/>
          <w:noProof/>
          <w:lang w:val="en-US"/>
        </w:rPr>
        <w:t>8</w:t>
      </w:r>
      <w:r w:rsidRPr="00F50321">
        <w:rPr>
          <w:noProof/>
          <w:lang w:val="en-US"/>
        </w:rPr>
        <w:t>, 19–32 (2005).</w:t>
      </w:r>
    </w:p>
    <w:p w14:paraId="01DEC773" w14:textId="77777777" w:rsidR="00F50321" w:rsidRPr="00F50321" w:rsidRDefault="00F50321" w:rsidP="00F50321">
      <w:pPr>
        <w:widowControl w:val="0"/>
        <w:autoSpaceDE w:val="0"/>
        <w:autoSpaceDN w:val="0"/>
        <w:adjustRightInd w:val="0"/>
        <w:ind w:left="640" w:hanging="640"/>
        <w:rPr>
          <w:noProof/>
          <w:lang w:val="en-US"/>
        </w:rPr>
      </w:pPr>
      <w:r w:rsidRPr="00F50321">
        <w:rPr>
          <w:noProof/>
          <w:lang w:val="en-US"/>
        </w:rPr>
        <w:t>19.</w:t>
      </w:r>
      <w:r w:rsidRPr="00F50321">
        <w:rPr>
          <w:noProof/>
          <w:lang w:val="en-US"/>
        </w:rPr>
        <w:tab/>
        <w:t xml:space="preserve">Levac, D., Colquhoun, H. &amp; O’Brien, K. K. Scoping studies: advancing the methodology. </w:t>
      </w:r>
      <w:r w:rsidRPr="00F50321">
        <w:rPr>
          <w:i/>
          <w:iCs/>
          <w:noProof/>
          <w:lang w:val="en-US"/>
        </w:rPr>
        <w:t>Implement. Sci.</w:t>
      </w:r>
      <w:r w:rsidRPr="00F50321">
        <w:rPr>
          <w:noProof/>
          <w:lang w:val="en-US"/>
        </w:rPr>
        <w:t xml:space="preserve"> </w:t>
      </w:r>
      <w:r w:rsidRPr="00F50321">
        <w:rPr>
          <w:b/>
          <w:bCs/>
          <w:noProof/>
          <w:lang w:val="en-US"/>
        </w:rPr>
        <w:t>5</w:t>
      </w:r>
      <w:r w:rsidRPr="00F50321">
        <w:rPr>
          <w:noProof/>
          <w:lang w:val="en-US"/>
        </w:rPr>
        <w:t>, 69 (2010).</w:t>
      </w:r>
    </w:p>
    <w:p w14:paraId="5A964258" w14:textId="77777777" w:rsidR="00F50321" w:rsidRPr="00F50321" w:rsidRDefault="00F50321" w:rsidP="00F50321">
      <w:pPr>
        <w:widowControl w:val="0"/>
        <w:autoSpaceDE w:val="0"/>
        <w:autoSpaceDN w:val="0"/>
        <w:adjustRightInd w:val="0"/>
        <w:ind w:left="640" w:hanging="640"/>
        <w:rPr>
          <w:noProof/>
          <w:lang w:val="en-US"/>
        </w:rPr>
      </w:pPr>
      <w:r w:rsidRPr="00F50321">
        <w:rPr>
          <w:noProof/>
          <w:lang w:val="en-US"/>
        </w:rPr>
        <w:t>20.</w:t>
      </w:r>
      <w:r w:rsidRPr="00F50321">
        <w:rPr>
          <w:noProof/>
          <w:lang w:val="en-US"/>
        </w:rPr>
        <w:tab/>
        <w:t>JBI Reviewer’s Manual - .pdf updated March 2020 - JBI Reviewer’s Manual - JBI GLOBAL WIKI. Available at: https://wiki.joannabriggs.org/display/MANUAL/JBI+Reviewer%27s+Manual+-+.pdf+updated+March+2020?preview=/61636614/62390385/JBI_Reviewers_Manual_2020March.pdf. (Accessed: 18th May 2020)</w:t>
      </w:r>
    </w:p>
    <w:p w14:paraId="517C1352" w14:textId="77777777" w:rsidR="00F50321" w:rsidRPr="00F50321" w:rsidRDefault="00F50321" w:rsidP="00F50321">
      <w:pPr>
        <w:widowControl w:val="0"/>
        <w:autoSpaceDE w:val="0"/>
        <w:autoSpaceDN w:val="0"/>
        <w:adjustRightInd w:val="0"/>
        <w:ind w:left="640" w:hanging="640"/>
        <w:rPr>
          <w:noProof/>
          <w:lang w:val="en-US"/>
        </w:rPr>
      </w:pPr>
      <w:r w:rsidRPr="00F50321">
        <w:rPr>
          <w:noProof/>
          <w:lang w:val="en-US"/>
        </w:rPr>
        <w:t>21.</w:t>
      </w:r>
      <w:r w:rsidRPr="00F50321">
        <w:rPr>
          <w:noProof/>
          <w:lang w:val="en-US"/>
        </w:rPr>
        <w:tab/>
        <w:t xml:space="preserve">Tricco, A. C. </w:t>
      </w:r>
      <w:r w:rsidRPr="00F50321">
        <w:rPr>
          <w:i/>
          <w:iCs/>
          <w:noProof/>
          <w:lang w:val="en-US"/>
        </w:rPr>
        <w:t>et al.</w:t>
      </w:r>
      <w:r w:rsidRPr="00F50321">
        <w:rPr>
          <w:noProof/>
          <w:lang w:val="en-US"/>
        </w:rPr>
        <w:t xml:space="preserve"> PRISMA Extension for Scoping Reviews (PRISMA-ScR): Checklist and Explanation. </w:t>
      </w:r>
      <w:r w:rsidRPr="00F50321">
        <w:rPr>
          <w:i/>
          <w:iCs/>
          <w:noProof/>
          <w:lang w:val="en-US"/>
        </w:rPr>
        <w:t>Ann. Intern. Med.</w:t>
      </w:r>
      <w:r w:rsidRPr="00F50321">
        <w:rPr>
          <w:noProof/>
          <w:lang w:val="en-US"/>
        </w:rPr>
        <w:t xml:space="preserve"> </w:t>
      </w:r>
      <w:r w:rsidRPr="00F50321">
        <w:rPr>
          <w:b/>
          <w:bCs/>
          <w:noProof/>
          <w:lang w:val="en-US"/>
        </w:rPr>
        <w:t>169</w:t>
      </w:r>
      <w:r w:rsidRPr="00F50321">
        <w:rPr>
          <w:noProof/>
          <w:lang w:val="en-US"/>
        </w:rPr>
        <w:t>, 467 (2018).</w:t>
      </w:r>
    </w:p>
    <w:p w14:paraId="1FFE0A1B" w14:textId="77777777" w:rsidR="00F50321" w:rsidRPr="00F50321" w:rsidRDefault="00F50321" w:rsidP="00F50321">
      <w:pPr>
        <w:widowControl w:val="0"/>
        <w:autoSpaceDE w:val="0"/>
        <w:autoSpaceDN w:val="0"/>
        <w:adjustRightInd w:val="0"/>
        <w:ind w:left="640" w:hanging="640"/>
        <w:rPr>
          <w:noProof/>
          <w:lang w:val="en-US"/>
        </w:rPr>
      </w:pPr>
      <w:r w:rsidRPr="00F50321">
        <w:rPr>
          <w:noProof/>
          <w:lang w:val="en-US"/>
        </w:rPr>
        <w:t>22.</w:t>
      </w:r>
      <w:r w:rsidRPr="00F50321">
        <w:rPr>
          <w:noProof/>
          <w:lang w:val="en-US"/>
        </w:rPr>
        <w:tab/>
        <w:t xml:space="preserve">Uttley, L. &amp; Montgomery, P. The influence of the team in conducting a systematic review. </w:t>
      </w:r>
      <w:r w:rsidRPr="00F50321">
        <w:rPr>
          <w:i/>
          <w:iCs/>
          <w:noProof/>
          <w:lang w:val="en-US"/>
        </w:rPr>
        <w:t>Systematic Reviews</w:t>
      </w:r>
      <w:r w:rsidRPr="00F50321">
        <w:rPr>
          <w:noProof/>
          <w:lang w:val="en-US"/>
        </w:rPr>
        <w:t xml:space="preserve"> </w:t>
      </w:r>
      <w:r w:rsidRPr="00F50321">
        <w:rPr>
          <w:b/>
          <w:bCs/>
          <w:noProof/>
          <w:lang w:val="en-US"/>
        </w:rPr>
        <w:t>6</w:t>
      </w:r>
      <w:r w:rsidRPr="00F50321">
        <w:rPr>
          <w:noProof/>
          <w:lang w:val="en-US"/>
        </w:rPr>
        <w:t>, 149 (2017).</w:t>
      </w:r>
    </w:p>
    <w:p w14:paraId="6FD67510" w14:textId="77777777" w:rsidR="00F50321" w:rsidRPr="00F50321" w:rsidRDefault="00F50321" w:rsidP="00F50321">
      <w:pPr>
        <w:widowControl w:val="0"/>
        <w:autoSpaceDE w:val="0"/>
        <w:autoSpaceDN w:val="0"/>
        <w:adjustRightInd w:val="0"/>
        <w:ind w:left="640" w:hanging="640"/>
        <w:rPr>
          <w:noProof/>
          <w:lang w:val="en-US"/>
        </w:rPr>
      </w:pPr>
      <w:r w:rsidRPr="00F50321">
        <w:rPr>
          <w:noProof/>
          <w:lang w:val="en-US"/>
        </w:rPr>
        <w:t>23.</w:t>
      </w:r>
      <w:r w:rsidRPr="00F50321">
        <w:rPr>
          <w:noProof/>
          <w:lang w:val="en-US"/>
        </w:rPr>
        <w:tab/>
        <w:t xml:space="preserve">Heusdens, C. H. W., Hopper, G. P., Dossche, L., Roelant, E. &amp; Mackay, G. M. Anterior cruciate ligament repair with Independent Suture Tape Reinforcement: a case series with 2-year follow-up. </w:t>
      </w:r>
      <w:r w:rsidRPr="00F50321">
        <w:rPr>
          <w:i/>
          <w:iCs/>
          <w:noProof/>
          <w:lang w:val="en-US"/>
        </w:rPr>
        <w:t>Knee Surgery, Sport. Traumatol. Arthrosc.</w:t>
      </w:r>
      <w:r w:rsidRPr="00F50321">
        <w:rPr>
          <w:noProof/>
          <w:lang w:val="en-US"/>
        </w:rPr>
        <w:t xml:space="preserve"> </w:t>
      </w:r>
      <w:r w:rsidRPr="00F50321">
        <w:rPr>
          <w:b/>
          <w:bCs/>
          <w:noProof/>
          <w:lang w:val="en-US"/>
        </w:rPr>
        <w:t>27</w:t>
      </w:r>
      <w:r w:rsidRPr="00F50321">
        <w:rPr>
          <w:noProof/>
          <w:lang w:val="en-US"/>
        </w:rPr>
        <w:t>, 60–67 (2019).</w:t>
      </w:r>
    </w:p>
    <w:p w14:paraId="1155DD0D" w14:textId="77777777" w:rsidR="00F50321" w:rsidRPr="00F50321" w:rsidRDefault="00F50321" w:rsidP="00F50321">
      <w:pPr>
        <w:widowControl w:val="0"/>
        <w:autoSpaceDE w:val="0"/>
        <w:autoSpaceDN w:val="0"/>
        <w:adjustRightInd w:val="0"/>
        <w:ind w:left="640" w:hanging="640"/>
        <w:rPr>
          <w:noProof/>
          <w:lang w:val="en-US"/>
        </w:rPr>
      </w:pPr>
      <w:r w:rsidRPr="00F50321">
        <w:rPr>
          <w:noProof/>
          <w:lang w:val="en-US"/>
        </w:rPr>
        <w:t>24.</w:t>
      </w:r>
      <w:r w:rsidRPr="00F50321">
        <w:rPr>
          <w:noProof/>
          <w:lang w:val="en-US"/>
        </w:rPr>
        <w:tab/>
        <w:t xml:space="preserve">L’Insalata, J. C., Beim, G. M. &amp; Fu, F. H. Anterior cruciate ligament reconstruction - allografts. in </w:t>
      </w:r>
      <w:r w:rsidRPr="00F50321">
        <w:rPr>
          <w:i/>
          <w:iCs/>
          <w:noProof/>
          <w:lang w:val="en-US"/>
        </w:rPr>
        <w:t>In Controversies in orthopedic sports medicine, Champaign, Ill., Human Kinetics, c2000, p.53-61.</w:t>
      </w:r>
      <w:r w:rsidRPr="00F50321">
        <w:rPr>
          <w:noProof/>
          <w:lang w:val="en-US"/>
        </w:rPr>
        <w:t xml:space="preserve"> (2000).</w:t>
      </w:r>
    </w:p>
    <w:p w14:paraId="260E077A" w14:textId="77777777" w:rsidR="00F50321" w:rsidRPr="00F50321" w:rsidRDefault="00F50321" w:rsidP="00F50321">
      <w:pPr>
        <w:widowControl w:val="0"/>
        <w:autoSpaceDE w:val="0"/>
        <w:autoSpaceDN w:val="0"/>
        <w:adjustRightInd w:val="0"/>
        <w:ind w:left="640" w:hanging="640"/>
        <w:rPr>
          <w:noProof/>
          <w:lang w:val="en-US"/>
        </w:rPr>
      </w:pPr>
      <w:r w:rsidRPr="00F50321">
        <w:rPr>
          <w:noProof/>
          <w:lang w:val="en-US"/>
        </w:rPr>
        <w:t>25.</w:t>
      </w:r>
      <w:r w:rsidRPr="00F50321">
        <w:rPr>
          <w:noProof/>
          <w:lang w:val="en-US"/>
        </w:rPr>
        <w:tab/>
        <w:t xml:space="preserve">Bramer, W. M., Giustini, D., De Jong, G. B., Holland, L. &amp; Bekhuis, T. De-duplication of database search results for systematic reviews in endnote. </w:t>
      </w:r>
      <w:r w:rsidRPr="00F50321">
        <w:rPr>
          <w:i/>
          <w:iCs/>
          <w:noProof/>
          <w:lang w:val="en-US"/>
        </w:rPr>
        <w:t>J. Med. Libr. Assoc.</w:t>
      </w:r>
      <w:r w:rsidRPr="00F50321">
        <w:rPr>
          <w:noProof/>
          <w:lang w:val="en-US"/>
        </w:rPr>
        <w:t xml:space="preserve"> </w:t>
      </w:r>
      <w:r w:rsidRPr="00F50321">
        <w:rPr>
          <w:b/>
          <w:bCs/>
          <w:noProof/>
          <w:lang w:val="en-US"/>
        </w:rPr>
        <w:t>104</w:t>
      </w:r>
      <w:r w:rsidRPr="00F50321">
        <w:rPr>
          <w:noProof/>
          <w:lang w:val="en-US"/>
        </w:rPr>
        <w:t>, 240–243 (2016).</w:t>
      </w:r>
    </w:p>
    <w:p w14:paraId="03419F4D" w14:textId="77777777" w:rsidR="00F50321" w:rsidRPr="00F50321" w:rsidRDefault="00F50321" w:rsidP="00F50321">
      <w:pPr>
        <w:widowControl w:val="0"/>
        <w:autoSpaceDE w:val="0"/>
        <w:autoSpaceDN w:val="0"/>
        <w:adjustRightInd w:val="0"/>
        <w:ind w:left="640" w:hanging="640"/>
        <w:rPr>
          <w:noProof/>
          <w:lang w:val="en-US"/>
        </w:rPr>
      </w:pPr>
      <w:r w:rsidRPr="00F50321">
        <w:rPr>
          <w:noProof/>
          <w:lang w:val="en-US"/>
        </w:rPr>
        <w:t>26.</w:t>
      </w:r>
      <w:r w:rsidRPr="00F50321">
        <w:rPr>
          <w:noProof/>
          <w:lang w:val="en-US"/>
        </w:rPr>
        <w:tab/>
        <w:t>VonVille, H. Excel Workbooks for Systematic Reviews. (2015). Available at: http://libguides.sph.uth.tmc.edu/excel_workbook_home. (Accessed: 1st January 2016)</w:t>
      </w:r>
    </w:p>
    <w:p w14:paraId="0789077F" w14:textId="77777777" w:rsidR="00F50321" w:rsidRPr="00F50321" w:rsidRDefault="00F50321" w:rsidP="00F50321">
      <w:pPr>
        <w:widowControl w:val="0"/>
        <w:autoSpaceDE w:val="0"/>
        <w:autoSpaceDN w:val="0"/>
        <w:adjustRightInd w:val="0"/>
        <w:ind w:left="640" w:hanging="640"/>
        <w:rPr>
          <w:noProof/>
          <w:lang w:val="en-US"/>
        </w:rPr>
      </w:pPr>
      <w:r w:rsidRPr="00F50321">
        <w:rPr>
          <w:noProof/>
          <w:lang w:val="en-US"/>
        </w:rPr>
        <w:t>27.</w:t>
      </w:r>
      <w:r w:rsidRPr="00F50321">
        <w:rPr>
          <w:noProof/>
          <w:lang w:val="en-US"/>
        </w:rPr>
        <w:tab/>
        <w:t xml:space="preserve">Downs, S. H. &amp; Black, N. </w:t>
      </w:r>
      <w:r w:rsidRPr="00F50321">
        <w:rPr>
          <w:i/>
          <w:iCs/>
          <w:noProof/>
          <w:lang w:val="en-US"/>
        </w:rPr>
        <w:t>The feasibility of creating a checklist for the assessment of the methodological quality both of randomised and non-randomised studies of health care interventions</w:t>
      </w:r>
      <w:r w:rsidRPr="00F50321">
        <w:rPr>
          <w:noProof/>
          <w:lang w:val="en-US"/>
        </w:rPr>
        <w:t xml:space="preserve">. </w:t>
      </w:r>
      <w:r w:rsidRPr="00F50321">
        <w:rPr>
          <w:i/>
          <w:iCs/>
          <w:noProof/>
          <w:lang w:val="en-US"/>
        </w:rPr>
        <w:t>J Epidemiol Community Health</w:t>
      </w:r>
      <w:r w:rsidRPr="00F50321">
        <w:rPr>
          <w:noProof/>
          <w:lang w:val="en-US"/>
        </w:rPr>
        <w:t xml:space="preserve"> </w:t>
      </w:r>
      <w:r w:rsidRPr="00F50321">
        <w:rPr>
          <w:b/>
          <w:bCs/>
          <w:noProof/>
          <w:lang w:val="en-US"/>
        </w:rPr>
        <w:t>52</w:t>
      </w:r>
      <w:r w:rsidRPr="00F50321">
        <w:rPr>
          <w:noProof/>
          <w:lang w:val="en-US"/>
        </w:rPr>
        <w:t>, (1998).</w:t>
      </w:r>
    </w:p>
    <w:p w14:paraId="2EF1414C" w14:textId="77777777" w:rsidR="00F50321" w:rsidRPr="00F50321" w:rsidRDefault="00F50321" w:rsidP="00F50321">
      <w:pPr>
        <w:widowControl w:val="0"/>
        <w:autoSpaceDE w:val="0"/>
        <w:autoSpaceDN w:val="0"/>
        <w:adjustRightInd w:val="0"/>
        <w:ind w:left="640" w:hanging="640"/>
        <w:rPr>
          <w:noProof/>
        </w:rPr>
      </w:pPr>
      <w:r w:rsidRPr="00F50321">
        <w:rPr>
          <w:noProof/>
          <w:lang w:val="en-US"/>
        </w:rPr>
        <w:t>28.</w:t>
      </w:r>
      <w:r w:rsidRPr="00F50321">
        <w:rPr>
          <w:noProof/>
          <w:lang w:val="en-US"/>
        </w:rPr>
        <w:tab/>
        <w:t xml:space="preserve">Howick, J. </w:t>
      </w:r>
      <w:r w:rsidRPr="00F50321">
        <w:rPr>
          <w:i/>
          <w:iCs/>
          <w:noProof/>
          <w:lang w:val="en-US"/>
        </w:rPr>
        <w:t>et al.</w:t>
      </w:r>
      <w:r w:rsidRPr="00F50321">
        <w:rPr>
          <w:noProof/>
          <w:lang w:val="en-US"/>
        </w:rPr>
        <w:t xml:space="preserve"> </w:t>
      </w:r>
      <w:r w:rsidRPr="00F50321">
        <w:rPr>
          <w:i/>
          <w:iCs/>
          <w:noProof/>
          <w:lang w:val="en-US"/>
        </w:rPr>
        <w:t>Oxford Centre for Evidence-Based Medicine 2011 Levels of Evidence</w:t>
      </w:r>
      <w:r w:rsidRPr="00F50321">
        <w:rPr>
          <w:noProof/>
          <w:lang w:val="en-US"/>
        </w:rPr>
        <w:t>.</w:t>
      </w:r>
    </w:p>
    <w:p w14:paraId="08C26B06" w14:textId="2CC61DEF" w:rsidR="008D1386" w:rsidRPr="00485D46" w:rsidRDefault="009479B7" w:rsidP="00F50321">
      <w:pPr>
        <w:widowControl w:val="0"/>
        <w:autoSpaceDE w:val="0"/>
        <w:autoSpaceDN w:val="0"/>
        <w:adjustRightInd w:val="0"/>
        <w:ind w:left="640" w:hanging="640"/>
        <w:rPr>
          <w:color w:val="000000" w:themeColor="text1"/>
        </w:rPr>
      </w:pPr>
      <w:r w:rsidRPr="00485D46">
        <w:rPr>
          <w:color w:val="000000" w:themeColor="text1"/>
        </w:rPr>
        <w:fldChar w:fldCharType="end"/>
      </w:r>
    </w:p>
    <w:p w14:paraId="54FCE2CD" w14:textId="77777777" w:rsidR="00A52016" w:rsidRPr="00485D46" w:rsidRDefault="00A52016" w:rsidP="00A52016">
      <w:pPr>
        <w:widowControl w:val="0"/>
        <w:autoSpaceDE w:val="0"/>
        <w:autoSpaceDN w:val="0"/>
        <w:adjustRightInd w:val="0"/>
        <w:jc w:val="both"/>
        <w:rPr>
          <w:color w:val="000000" w:themeColor="text1"/>
        </w:rPr>
        <w:sectPr w:rsidR="00A52016" w:rsidRPr="00485D46" w:rsidSect="00A9301F">
          <w:pgSz w:w="12240" w:h="15840"/>
          <w:pgMar w:top="1440" w:right="1440" w:bottom="1440" w:left="1440" w:header="708" w:footer="708" w:gutter="0"/>
          <w:cols w:space="708"/>
          <w:docGrid w:linePitch="360"/>
        </w:sectPr>
      </w:pPr>
    </w:p>
    <w:p w14:paraId="41DED597" w14:textId="77777777" w:rsidR="00A52016" w:rsidRPr="00485D46" w:rsidRDefault="00A52016" w:rsidP="00A52016">
      <w:pPr>
        <w:jc w:val="center"/>
        <w:rPr>
          <w:b/>
        </w:rPr>
      </w:pPr>
      <w:r w:rsidRPr="00485D46">
        <w:rPr>
          <w:b/>
        </w:rPr>
        <w:lastRenderedPageBreak/>
        <w:t>Appendix 1- Search Strategies</w:t>
      </w:r>
    </w:p>
    <w:p w14:paraId="1CB4CF42" w14:textId="77777777" w:rsidR="00A52016" w:rsidRPr="00485D46" w:rsidRDefault="00A52016" w:rsidP="00A52016">
      <w:pPr>
        <w:rPr>
          <w:b/>
        </w:rPr>
      </w:pPr>
    </w:p>
    <w:p w14:paraId="5F7FE2CD" w14:textId="77777777" w:rsidR="00A52016" w:rsidRPr="00485D46" w:rsidRDefault="00A52016" w:rsidP="00A52016">
      <w:pPr>
        <w:rPr>
          <w:b/>
        </w:rPr>
      </w:pPr>
      <w:r w:rsidRPr="00485D46">
        <w:rPr>
          <w:b/>
        </w:rPr>
        <w:t>Ovid MEDLINE(R) ALL 1946 to June 04, 2020</w:t>
      </w:r>
    </w:p>
    <w:p w14:paraId="482CCBC8" w14:textId="77777777" w:rsidR="00A52016" w:rsidRPr="00485D46" w:rsidRDefault="00A52016" w:rsidP="00A52016">
      <w:r w:rsidRPr="00485D46">
        <w:t>Date searched: June 5, 2020</w:t>
      </w:r>
    </w:p>
    <w:p w14:paraId="7992946A" w14:textId="77777777" w:rsidR="00A52016" w:rsidRPr="00485D46" w:rsidRDefault="00A52016" w:rsidP="00A52016">
      <w:r w:rsidRPr="00485D46">
        <w:t>Results: 1194</w:t>
      </w:r>
    </w:p>
    <w:p w14:paraId="0754A1C5" w14:textId="77777777" w:rsidR="00A52016" w:rsidRPr="00485D46" w:rsidRDefault="00A52016" w:rsidP="00A52016"/>
    <w:p w14:paraId="54CEAE66" w14:textId="77777777" w:rsidR="00A52016" w:rsidRPr="00485D46" w:rsidRDefault="00A52016" w:rsidP="00A52016">
      <w:r w:rsidRPr="00485D46">
        <w:t xml:space="preserve">1. </w:t>
      </w:r>
      <w:proofErr w:type="spellStart"/>
      <w:proofErr w:type="gramStart"/>
      <w:r w:rsidRPr="00485D46">
        <w:t>exp</w:t>
      </w:r>
      <w:proofErr w:type="spellEnd"/>
      <w:proofErr w:type="gramEnd"/>
      <w:r w:rsidRPr="00485D46">
        <w:t xml:space="preserve"> anterior cruciate ligament reconstruction/</w:t>
      </w:r>
      <w:r w:rsidRPr="00485D46">
        <w:tab/>
      </w:r>
    </w:p>
    <w:p w14:paraId="180562DD" w14:textId="77777777" w:rsidR="00A52016" w:rsidRPr="00485D46" w:rsidRDefault="00A52016" w:rsidP="00A52016">
      <w:r w:rsidRPr="00485D46">
        <w:t>2. ((Anterior cruciate ligament or ACL) adj8 (repair or reconstruct* or surgery or post-</w:t>
      </w:r>
      <w:proofErr w:type="spellStart"/>
      <w:r w:rsidRPr="00485D46">
        <w:t>operativ</w:t>
      </w:r>
      <w:proofErr w:type="spellEnd"/>
      <w:r w:rsidRPr="00485D46">
        <w:t xml:space="preserve">* or </w:t>
      </w:r>
      <w:proofErr w:type="spellStart"/>
      <w:r w:rsidRPr="00485D46">
        <w:t>postoperativ</w:t>
      </w:r>
      <w:proofErr w:type="spellEnd"/>
      <w:r w:rsidRPr="00485D46">
        <w:t>*))</w:t>
      </w:r>
      <w:proofErr w:type="gramStart"/>
      <w:r w:rsidRPr="00485D46">
        <w:t>.</w:t>
      </w:r>
      <w:proofErr w:type="spellStart"/>
      <w:r w:rsidRPr="00485D46">
        <w:t>mp</w:t>
      </w:r>
      <w:proofErr w:type="spellEnd"/>
      <w:proofErr w:type="gramEnd"/>
      <w:r w:rsidRPr="00485D46">
        <w:t>.</w:t>
      </w:r>
      <w:r w:rsidRPr="00485D46">
        <w:tab/>
      </w:r>
    </w:p>
    <w:p w14:paraId="21AE69AA" w14:textId="77777777" w:rsidR="00A52016" w:rsidRPr="00485D46" w:rsidRDefault="00A52016" w:rsidP="00A52016">
      <w:r w:rsidRPr="00485D46">
        <w:t>3. 1 or 2</w:t>
      </w:r>
      <w:r w:rsidRPr="00485D46">
        <w:tab/>
      </w:r>
    </w:p>
    <w:p w14:paraId="3B186D22" w14:textId="77777777" w:rsidR="00A52016" w:rsidRPr="00485D46" w:rsidRDefault="00A52016" w:rsidP="00A52016">
      <w:r w:rsidRPr="00485D46">
        <w:t>4. (</w:t>
      </w:r>
      <w:proofErr w:type="spellStart"/>
      <w:proofErr w:type="gramStart"/>
      <w:r w:rsidRPr="00485D46">
        <w:t>forceplate</w:t>
      </w:r>
      <w:proofErr w:type="spellEnd"/>
      <w:proofErr w:type="gramEnd"/>
      <w:r w:rsidRPr="00485D46">
        <w:t xml:space="preserve">* or force plate* or force platform* or balance platform* or balance board* or </w:t>
      </w:r>
      <w:proofErr w:type="spellStart"/>
      <w:r w:rsidRPr="00485D46">
        <w:t>wii</w:t>
      </w:r>
      <w:proofErr w:type="spellEnd"/>
      <w:r w:rsidRPr="00485D46">
        <w:t xml:space="preserve"> balance or unstable platform or KAT-2000 or KAT2000 or platform system or </w:t>
      </w:r>
      <w:proofErr w:type="spellStart"/>
      <w:r w:rsidRPr="00485D46">
        <w:t>biodex</w:t>
      </w:r>
      <w:proofErr w:type="spellEnd"/>
      <w:r w:rsidRPr="00485D46">
        <w:t xml:space="preserve"> stability system or </w:t>
      </w:r>
      <w:proofErr w:type="spellStart"/>
      <w:r w:rsidRPr="00485D46">
        <w:t>biodex</w:t>
      </w:r>
      <w:proofErr w:type="spellEnd"/>
      <w:r w:rsidRPr="00485D46">
        <w:t xml:space="preserve"> balance system or centre of gravity or center of gravity or </w:t>
      </w:r>
      <w:proofErr w:type="spellStart"/>
      <w:r w:rsidRPr="00485D46">
        <w:t>Neruocom</w:t>
      </w:r>
      <w:proofErr w:type="spellEnd"/>
      <w:r w:rsidRPr="00485D46">
        <w:t xml:space="preserve"> balance master or </w:t>
      </w:r>
      <w:proofErr w:type="spellStart"/>
      <w:r w:rsidRPr="00485D46">
        <w:t>Kistler</w:t>
      </w:r>
      <w:proofErr w:type="spellEnd"/>
      <w:r w:rsidRPr="00485D46">
        <w:t xml:space="preserve"> or GRF or GRFs or VGRF or VGRFs or ground reaction force* or kinetic* or center of pressure).</w:t>
      </w:r>
      <w:proofErr w:type="spellStart"/>
      <w:r w:rsidRPr="00485D46">
        <w:t>mp</w:t>
      </w:r>
      <w:proofErr w:type="spellEnd"/>
      <w:r w:rsidRPr="00485D46">
        <w:t>.</w:t>
      </w:r>
      <w:r w:rsidRPr="00485D46">
        <w:tab/>
      </w:r>
    </w:p>
    <w:p w14:paraId="331F8B0B" w14:textId="77777777" w:rsidR="00A52016" w:rsidRPr="00485D46" w:rsidRDefault="00A52016" w:rsidP="00A52016">
      <w:r w:rsidRPr="00485D46">
        <w:t xml:space="preserve">5. (Reactive strength index-modified or </w:t>
      </w:r>
      <w:proofErr w:type="spellStart"/>
      <w:r w:rsidRPr="00485D46">
        <w:t>RSImod</w:t>
      </w:r>
      <w:proofErr w:type="spellEnd"/>
      <w:r w:rsidRPr="00485D46">
        <w:t xml:space="preserve"> or vertical impulse or rate of force development or force production or jump duration or flight time or peak force* or fatigue index or reactive strength index or limb-impulse* or phase specific or knee-extensor-power or muscle-power or time curve)</w:t>
      </w:r>
      <w:proofErr w:type="gramStart"/>
      <w:r w:rsidRPr="00485D46">
        <w:t>.</w:t>
      </w:r>
      <w:proofErr w:type="spellStart"/>
      <w:r w:rsidRPr="00485D46">
        <w:t>mp</w:t>
      </w:r>
      <w:proofErr w:type="spellEnd"/>
      <w:proofErr w:type="gramEnd"/>
      <w:r w:rsidRPr="00485D46">
        <w:t>.</w:t>
      </w:r>
      <w:r w:rsidRPr="00485D46">
        <w:tab/>
      </w:r>
    </w:p>
    <w:p w14:paraId="5C25E8BB" w14:textId="77777777" w:rsidR="00A52016" w:rsidRPr="00485D46" w:rsidRDefault="00A52016" w:rsidP="00A52016">
      <w:r w:rsidRPr="00485D46">
        <w:t>6. (</w:t>
      </w:r>
      <w:proofErr w:type="gramStart"/>
      <w:r w:rsidRPr="00485D46">
        <w:t>postural</w:t>
      </w:r>
      <w:proofErr w:type="gramEnd"/>
      <w:r w:rsidRPr="00485D46">
        <w:t xml:space="preserve"> stability or postural instability or postural balance or postural control or postural sway or postural impairment* or dynamic balance or dynamic stability or dynamic control or static balance or static stability or static control or standing balance or balance impairment* or stabilometric).</w:t>
      </w:r>
      <w:proofErr w:type="spellStart"/>
      <w:r w:rsidRPr="00485D46">
        <w:t>mp</w:t>
      </w:r>
      <w:proofErr w:type="spellEnd"/>
      <w:r w:rsidRPr="00485D46">
        <w:t>.</w:t>
      </w:r>
      <w:r w:rsidRPr="00485D46">
        <w:tab/>
      </w:r>
    </w:p>
    <w:p w14:paraId="355E2F91" w14:textId="77777777" w:rsidR="00A52016" w:rsidRPr="00485D46" w:rsidRDefault="00A52016" w:rsidP="00A52016">
      <w:r w:rsidRPr="00485D46">
        <w:t>7. (</w:t>
      </w:r>
      <w:proofErr w:type="gramStart"/>
      <w:r w:rsidRPr="00485D46">
        <w:t>functional</w:t>
      </w:r>
      <w:proofErr w:type="gramEnd"/>
      <w:r w:rsidRPr="00485D46">
        <w:t>-test* or quiet standing or hop test or single leg hop or single leg squat or landing or (jump adj2 height) or ((Bilateral or unilateral or countermovement or squat or drop or vertical) adj4 jump*) or ((Leg or legs or limb or limbs or knee or knees or functional or strength or muscle or index or indices) adj4 (</w:t>
      </w:r>
      <w:proofErr w:type="spellStart"/>
      <w:r w:rsidRPr="00485D46">
        <w:t>asymmetr</w:t>
      </w:r>
      <w:proofErr w:type="spellEnd"/>
      <w:r w:rsidRPr="00485D46">
        <w:t xml:space="preserve">* or </w:t>
      </w:r>
      <w:proofErr w:type="spellStart"/>
      <w:r w:rsidRPr="00485D46">
        <w:t>symmetr</w:t>
      </w:r>
      <w:proofErr w:type="spellEnd"/>
      <w:r w:rsidRPr="00485D46">
        <w:t>*))).</w:t>
      </w:r>
      <w:proofErr w:type="spellStart"/>
      <w:r w:rsidRPr="00485D46">
        <w:t>mp</w:t>
      </w:r>
      <w:proofErr w:type="spellEnd"/>
      <w:r w:rsidRPr="00485D46">
        <w:t>.</w:t>
      </w:r>
    </w:p>
    <w:p w14:paraId="79539B26" w14:textId="77777777" w:rsidR="00A52016" w:rsidRPr="00485D46" w:rsidRDefault="00A52016" w:rsidP="00A52016">
      <w:r w:rsidRPr="00485D46">
        <w:t>8. 3 and (or/4-7)</w:t>
      </w:r>
      <w:r w:rsidRPr="00485D46">
        <w:tab/>
      </w:r>
    </w:p>
    <w:p w14:paraId="1773F9F7" w14:textId="77777777" w:rsidR="00A52016" w:rsidRPr="00485D46" w:rsidRDefault="00A52016" w:rsidP="00A52016">
      <w:r w:rsidRPr="00485D46">
        <w:t xml:space="preserve">9. </w:t>
      </w:r>
      <w:proofErr w:type="gramStart"/>
      <w:r w:rsidRPr="00485D46">
        <w:t>limit</w:t>
      </w:r>
      <w:proofErr w:type="gramEnd"/>
      <w:r w:rsidRPr="00485D46">
        <w:t xml:space="preserve"> 8 to (address or autobiography or bibliography or biography or clinical trial, veterinary or clinical trials, veterinary as topic or dictionary or directory or editorial or interview or news or newspaper article or observational study, veterinary)</w:t>
      </w:r>
      <w:r w:rsidRPr="00485D46">
        <w:tab/>
      </w:r>
    </w:p>
    <w:p w14:paraId="574947A1" w14:textId="77777777" w:rsidR="00A52016" w:rsidRPr="00485D46" w:rsidRDefault="00A52016" w:rsidP="00A52016">
      <w:r w:rsidRPr="00485D46">
        <w:t>10. 8 not 9</w:t>
      </w:r>
    </w:p>
    <w:p w14:paraId="314DCF98" w14:textId="77777777" w:rsidR="00A52016" w:rsidRPr="00485D46" w:rsidRDefault="00A52016" w:rsidP="00A52016"/>
    <w:p w14:paraId="1121C779" w14:textId="77777777" w:rsidR="00A52016" w:rsidRPr="00485D46" w:rsidRDefault="00A52016" w:rsidP="00A52016"/>
    <w:p w14:paraId="57EE2AD9" w14:textId="77777777" w:rsidR="00A52016" w:rsidRPr="00485D46" w:rsidRDefault="00A52016" w:rsidP="00A52016">
      <w:pPr>
        <w:rPr>
          <w:b/>
        </w:rPr>
      </w:pPr>
      <w:proofErr w:type="spellStart"/>
      <w:r w:rsidRPr="00485D46">
        <w:rPr>
          <w:b/>
        </w:rPr>
        <w:t>Embase</w:t>
      </w:r>
      <w:proofErr w:type="spellEnd"/>
      <w:r w:rsidRPr="00485D46">
        <w:rPr>
          <w:b/>
        </w:rPr>
        <w:t xml:space="preserve"> 1974 to 2020 June 04 (OVID interface)</w:t>
      </w:r>
    </w:p>
    <w:p w14:paraId="66EEA205" w14:textId="77777777" w:rsidR="00A52016" w:rsidRPr="00485D46" w:rsidRDefault="00A52016" w:rsidP="00A52016">
      <w:r w:rsidRPr="00485D46">
        <w:t xml:space="preserve">Date </w:t>
      </w:r>
      <w:proofErr w:type="spellStart"/>
      <w:r w:rsidRPr="00485D46">
        <w:t>searched</w:t>
      </w:r>
      <w:proofErr w:type="gramStart"/>
      <w:r w:rsidRPr="00485D46">
        <w:t>:June</w:t>
      </w:r>
      <w:proofErr w:type="spellEnd"/>
      <w:proofErr w:type="gramEnd"/>
      <w:r w:rsidRPr="00485D46">
        <w:t xml:space="preserve"> 5, 2020</w:t>
      </w:r>
    </w:p>
    <w:p w14:paraId="6BCA75D3" w14:textId="77777777" w:rsidR="00A52016" w:rsidRPr="00485D46" w:rsidRDefault="00A52016" w:rsidP="00A52016">
      <w:r w:rsidRPr="00485D46">
        <w:t>Results: 1268</w:t>
      </w:r>
    </w:p>
    <w:p w14:paraId="511721F4" w14:textId="77777777" w:rsidR="00A52016" w:rsidRPr="00485D46" w:rsidRDefault="00A52016" w:rsidP="00A52016"/>
    <w:p w14:paraId="7F7E62AE" w14:textId="77777777" w:rsidR="00A52016" w:rsidRPr="00485D46" w:rsidRDefault="00A52016" w:rsidP="00A52016">
      <w:r w:rsidRPr="00485D46">
        <w:t xml:space="preserve">1. </w:t>
      </w:r>
      <w:proofErr w:type="gramStart"/>
      <w:r w:rsidRPr="00485D46">
        <w:t>anterior</w:t>
      </w:r>
      <w:proofErr w:type="gramEnd"/>
      <w:r w:rsidRPr="00485D46">
        <w:t xml:space="preserve"> cruciate ligament reconstruction/</w:t>
      </w:r>
      <w:r w:rsidRPr="00485D46">
        <w:tab/>
      </w:r>
    </w:p>
    <w:p w14:paraId="2E9CB3A2" w14:textId="77777777" w:rsidR="00A52016" w:rsidRPr="00485D46" w:rsidRDefault="00A52016" w:rsidP="00A52016">
      <w:r w:rsidRPr="00485D46">
        <w:t>2. ((Anterior cruciate ligament or ACL) adj8 (repair or reconstruct* or surgery or post-</w:t>
      </w:r>
      <w:proofErr w:type="spellStart"/>
      <w:r w:rsidRPr="00485D46">
        <w:t>operativ</w:t>
      </w:r>
      <w:proofErr w:type="spellEnd"/>
      <w:r w:rsidRPr="00485D46">
        <w:t xml:space="preserve">* or </w:t>
      </w:r>
      <w:proofErr w:type="spellStart"/>
      <w:r w:rsidRPr="00485D46">
        <w:t>postoperativ</w:t>
      </w:r>
      <w:proofErr w:type="spellEnd"/>
      <w:r w:rsidRPr="00485D46">
        <w:t>*))</w:t>
      </w:r>
      <w:proofErr w:type="gramStart"/>
      <w:r w:rsidRPr="00485D46">
        <w:t>.</w:t>
      </w:r>
      <w:proofErr w:type="spellStart"/>
      <w:r w:rsidRPr="00485D46">
        <w:t>mp</w:t>
      </w:r>
      <w:proofErr w:type="spellEnd"/>
      <w:proofErr w:type="gramEnd"/>
      <w:r w:rsidRPr="00485D46">
        <w:t>.</w:t>
      </w:r>
      <w:r w:rsidRPr="00485D46">
        <w:tab/>
      </w:r>
    </w:p>
    <w:p w14:paraId="4CA42298" w14:textId="77777777" w:rsidR="00A52016" w:rsidRPr="00485D46" w:rsidRDefault="00A52016" w:rsidP="00A52016">
      <w:r w:rsidRPr="00485D46">
        <w:t>3. 1 or 2</w:t>
      </w:r>
      <w:r w:rsidRPr="00485D46">
        <w:tab/>
      </w:r>
    </w:p>
    <w:p w14:paraId="4FD00BC4" w14:textId="77777777" w:rsidR="00A52016" w:rsidRPr="00485D46" w:rsidRDefault="00A52016" w:rsidP="00A52016">
      <w:r w:rsidRPr="00485D46">
        <w:t>4. (</w:t>
      </w:r>
      <w:proofErr w:type="spellStart"/>
      <w:proofErr w:type="gramStart"/>
      <w:r w:rsidRPr="00485D46">
        <w:t>forceplate</w:t>
      </w:r>
      <w:proofErr w:type="spellEnd"/>
      <w:proofErr w:type="gramEnd"/>
      <w:r w:rsidRPr="00485D46">
        <w:t xml:space="preserve">* or force plate* or force platform* or balance platform* or balance board* or </w:t>
      </w:r>
      <w:proofErr w:type="spellStart"/>
      <w:r w:rsidRPr="00485D46">
        <w:t>wii</w:t>
      </w:r>
      <w:proofErr w:type="spellEnd"/>
      <w:r w:rsidRPr="00485D46">
        <w:t xml:space="preserve"> balance or unstable platform or KAT-2000 or KAT2000 or platform system or </w:t>
      </w:r>
      <w:proofErr w:type="spellStart"/>
      <w:r w:rsidRPr="00485D46">
        <w:t>biodex</w:t>
      </w:r>
      <w:proofErr w:type="spellEnd"/>
      <w:r w:rsidRPr="00485D46">
        <w:t xml:space="preserve"> stability system or </w:t>
      </w:r>
      <w:proofErr w:type="spellStart"/>
      <w:r w:rsidRPr="00485D46">
        <w:t>biodex</w:t>
      </w:r>
      <w:proofErr w:type="spellEnd"/>
      <w:r w:rsidRPr="00485D46">
        <w:t xml:space="preserve"> balance system or centre of gravity or center of gravity or </w:t>
      </w:r>
      <w:proofErr w:type="spellStart"/>
      <w:r w:rsidRPr="00485D46">
        <w:t>Neruocom</w:t>
      </w:r>
      <w:proofErr w:type="spellEnd"/>
      <w:r w:rsidRPr="00485D46">
        <w:t xml:space="preserve"> balance </w:t>
      </w:r>
      <w:r w:rsidRPr="00485D46">
        <w:lastRenderedPageBreak/>
        <w:t xml:space="preserve">master or </w:t>
      </w:r>
      <w:proofErr w:type="spellStart"/>
      <w:r w:rsidRPr="00485D46">
        <w:t>Kistler</w:t>
      </w:r>
      <w:proofErr w:type="spellEnd"/>
      <w:r w:rsidRPr="00485D46">
        <w:t xml:space="preserve"> or GRF or GRFs or VGRF or VGRFs or ground reaction force* or kinetic* or center of pressure).</w:t>
      </w:r>
      <w:proofErr w:type="spellStart"/>
      <w:r w:rsidRPr="00485D46">
        <w:t>mp</w:t>
      </w:r>
      <w:proofErr w:type="spellEnd"/>
      <w:r w:rsidRPr="00485D46">
        <w:t>.</w:t>
      </w:r>
      <w:r w:rsidRPr="00485D46">
        <w:tab/>
      </w:r>
    </w:p>
    <w:p w14:paraId="7B604347" w14:textId="77777777" w:rsidR="00A52016" w:rsidRPr="00485D46" w:rsidRDefault="00A52016" w:rsidP="00A52016">
      <w:r w:rsidRPr="00485D46">
        <w:t xml:space="preserve">5. (Reactive strength index-modified or </w:t>
      </w:r>
      <w:proofErr w:type="spellStart"/>
      <w:r w:rsidRPr="00485D46">
        <w:t>RSImod</w:t>
      </w:r>
      <w:proofErr w:type="spellEnd"/>
      <w:r w:rsidRPr="00485D46">
        <w:t xml:space="preserve"> or vertical impulse or rate of force development or force production or jump duration or flight time or peak force* or fatigue index or reactive strength index or limb-impulse* or phase specific or knee-extensor-power or muscle-power or time curve)</w:t>
      </w:r>
      <w:proofErr w:type="gramStart"/>
      <w:r w:rsidRPr="00485D46">
        <w:t>.</w:t>
      </w:r>
      <w:proofErr w:type="spellStart"/>
      <w:r w:rsidRPr="00485D46">
        <w:t>mp</w:t>
      </w:r>
      <w:proofErr w:type="spellEnd"/>
      <w:proofErr w:type="gramEnd"/>
      <w:r w:rsidRPr="00485D46">
        <w:t>.</w:t>
      </w:r>
      <w:r w:rsidRPr="00485D46">
        <w:tab/>
      </w:r>
    </w:p>
    <w:p w14:paraId="3701FC45" w14:textId="77777777" w:rsidR="00A52016" w:rsidRPr="00485D46" w:rsidRDefault="00A52016" w:rsidP="00A52016">
      <w:r w:rsidRPr="00485D46">
        <w:t>6. (</w:t>
      </w:r>
      <w:proofErr w:type="gramStart"/>
      <w:r w:rsidRPr="00485D46">
        <w:t>postural</w:t>
      </w:r>
      <w:proofErr w:type="gramEnd"/>
      <w:r w:rsidRPr="00485D46">
        <w:t xml:space="preserve"> stability or postural instability or postural balance or postural control or postural sway or postural impairment* or dynamic balance or dynamic stability or dynamic control or static balance or static stability or static control or standing balance or balance impairment* or stabilometric).</w:t>
      </w:r>
      <w:proofErr w:type="spellStart"/>
      <w:r w:rsidRPr="00485D46">
        <w:t>mp</w:t>
      </w:r>
      <w:proofErr w:type="spellEnd"/>
      <w:r w:rsidRPr="00485D46">
        <w:t>.</w:t>
      </w:r>
      <w:r w:rsidRPr="00485D46">
        <w:tab/>
      </w:r>
    </w:p>
    <w:p w14:paraId="6237B81C" w14:textId="77777777" w:rsidR="00A52016" w:rsidRPr="00485D46" w:rsidRDefault="00A52016" w:rsidP="00A52016">
      <w:r w:rsidRPr="00485D46">
        <w:t>7. (</w:t>
      </w:r>
      <w:proofErr w:type="gramStart"/>
      <w:r w:rsidRPr="00485D46">
        <w:t>functional</w:t>
      </w:r>
      <w:proofErr w:type="gramEnd"/>
      <w:r w:rsidRPr="00485D46">
        <w:t>-test* or quiet standing or hop test or single leg hop or single leg squat or landing or (jump adj2 height) or ((Bilateral or unilateral or countermovement or squat or drop or vertical) adj4 jump*) or ((Leg or legs or limb or limbs or knee or knees or functional or strength or muscle or index or indices) adj4 (</w:t>
      </w:r>
      <w:proofErr w:type="spellStart"/>
      <w:r w:rsidRPr="00485D46">
        <w:t>asymmetr</w:t>
      </w:r>
      <w:proofErr w:type="spellEnd"/>
      <w:r w:rsidRPr="00485D46">
        <w:t xml:space="preserve">* or </w:t>
      </w:r>
      <w:proofErr w:type="spellStart"/>
      <w:r w:rsidRPr="00485D46">
        <w:t>symmetr</w:t>
      </w:r>
      <w:proofErr w:type="spellEnd"/>
      <w:r w:rsidRPr="00485D46">
        <w:t>*))).</w:t>
      </w:r>
      <w:proofErr w:type="spellStart"/>
      <w:r w:rsidRPr="00485D46">
        <w:t>mp</w:t>
      </w:r>
      <w:proofErr w:type="spellEnd"/>
      <w:r w:rsidRPr="00485D46">
        <w:t>.</w:t>
      </w:r>
    </w:p>
    <w:p w14:paraId="0E9EEA3C" w14:textId="77777777" w:rsidR="00A52016" w:rsidRPr="00485D46" w:rsidRDefault="00A52016" w:rsidP="00A52016">
      <w:r w:rsidRPr="00485D46">
        <w:t>8. 3 and (or/4-7)</w:t>
      </w:r>
      <w:r w:rsidRPr="00485D46">
        <w:tab/>
      </w:r>
    </w:p>
    <w:p w14:paraId="018CAE08" w14:textId="77777777" w:rsidR="00A52016" w:rsidRPr="00485D46" w:rsidRDefault="00A52016" w:rsidP="00A52016">
      <w:r w:rsidRPr="00485D46">
        <w:t xml:space="preserve">9. </w:t>
      </w:r>
      <w:proofErr w:type="gramStart"/>
      <w:r w:rsidRPr="00485D46">
        <w:t>limit</w:t>
      </w:r>
      <w:proofErr w:type="gramEnd"/>
      <w:r w:rsidRPr="00485D46">
        <w:t xml:space="preserve"> 8 to conference abstract status</w:t>
      </w:r>
      <w:r w:rsidRPr="00485D46">
        <w:tab/>
      </w:r>
    </w:p>
    <w:p w14:paraId="0CFD1F28" w14:textId="77777777" w:rsidR="00A52016" w:rsidRPr="00485D46" w:rsidRDefault="00A52016" w:rsidP="00A52016">
      <w:r w:rsidRPr="00485D46">
        <w:t>10. 8 not 9</w:t>
      </w:r>
      <w:r w:rsidRPr="00485D46">
        <w:tab/>
      </w:r>
    </w:p>
    <w:p w14:paraId="65A1087D" w14:textId="77777777" w:rsidR="00A52016" w:rsidRPr="00485D46" w:rsidRDefault="00A52016" w:rsidP="00A52016">
      <w:r w:rsidRPr="00485D46">
        <w:t xml:space="preserve">11. </w:t>
      </w:r>
      <w:proofErr w:type="gramStart"/>
      <w:r w:rsidRPr="00485D46">
        <w:t>limit</w:t>
      </w:r>
      <w:proofErr w:type="gramEnd"/>
      <w:r w:rsidRPr="00485D46">
        <w:t xml:space="preserve"> 10 to editorial</w:t>
      </w:r>
      <w:r w:rsidRPr="00485D46">
        <w:tab/>
      </w:r>
    </w:p>
    <w:p w14:paraId="6DCF8946" w14:textId="77777777" w:rsidR="00A52016" w:rsidRPr="00485D46" w:rsidRDefault="00A52016" w:rsidP="00A52016">
      <w:r w:rsidRPr="00485D46">
        <w:t>12. 10 not 11</w:t>
      </w:r>
    </w:p>
    <w:p w14:paraId="4DD22D21" w14:textId="77777777" w:rsidR="00A52016" w:rsidRPr="00485D46" w:rsidRDefault="00A52016" w:rsidP="00A52016"/>
    <w:p w14:paraId="131A17A5" w14:textId="77777777" w:rsidR="00A52016" w:rsidRPr="00485D46" w:rsidRDefault="00A52016" w:rsidP="00A52016"/>
    <w:p w14:paraId="6B09C172" w14:textId="77777777" w:rsidR="00A52016" w:rsidRPr="00485D46" w:rsidRDefault="00A52016" w:rsidP="00A52016">
      <w:pPr>
        <w:rPr>
          <w:b/>
        </w:rPr>
      </w:pPr>
      <w:r w:rsidRPr="00485D46">
        <w:rPr>
          <w:b/>
        </w:rPr>
        <w:t>CINAHL Plus with Full Text (</w:t>
      </w:r>
      <w:proofErr w:type="spellStart"/>
      <w:r w:rsidRPr="00485D46">
        <w:rPr>
          <w:b/>
        </w:rPr>
        <w:t>EBSCOhose</w:t>
      </w:r>
      <w:proofErr w:type="spellEnd"/>
      <w:r w:rsidRPr="00485D46">
        <w:rPr>
          <w:b/>
        </w:rPr>
        <w:t xml:space="preserve"> interface)</w:t>
      </w:r>
    </w:p>
    <w:p w14:paraId="704F2E91" w14:textId="77777777" w:rsidR="00A52016" w:rsidRPr="00485D46" w:rsidRDefault="00A52016" w:rsidP="00A52016">
      <w:r w:rsidRPr="00485D46">
        <w:t>Date searched: June 5, 2020</w:t>
      </w:r>
    </w:p>
    <w:p w14:paraId="28BA7021" w14:textId="77777777" w:rsidR="00A52016" w:rsidRPr="00485D46" w:rsidRDefault="00A52016" w:rsidP="00A52016">
      <w:r w:rsidRPr="00485D46">
        <w:t>Results: 966</w:t>
      </w:r>
    </w:p>
    <w:p w14:paraId="136C7AC8" w14:textId="77777777" w:rsidR="00A52016" w:rsidRPr="00485D46" w:rsidRDefault="00A52016" w:rsidP="00A52016"/>
    <w:p w14:paraId="43AF0780" w14:textId="77777777" w:rsidR="00A52016" w:rsidRPr="00485D46" w:rsidRDefault="00A52016" w:rsidP="00A52016">
      <w:r w:rsidRPr="00485D46">
        <w:t xml:space="preserve">S1   (MH "Anterior Cruciate Ligament Reconstruction") OR </w:t>
      </w:r>
      <w:proofErr w:type="gramStart"/>
      <w:r w:rsidRPr="00485D46">
        <w:t>( (</w:t>
      </w:r>
      <w:proofErr w:type="gramEnd"/>
      <w:r w:rsidRPr="00485D46">
        <w:t>Anterior cruciate ligament or ACL) N8 (repair or reconstruct* or surgery or post-</w:t>
      </w:r>
      <w:proofErr w:type="spellStart"/>
      <w:r w:rsidRPr="00485D46">
        <w:t>operativ</w:t>
      </w:r>
      <w:proofErr w:type="spellEnd"/>
      <w:r w:rsidRPr="00485D46">
        <w:t xml:space="preserve">* or </w:t>
      </w:r>
      <w:proofErr w:type="spellStart"/>
      <w:r w:rsidRPr="00485D46">
        <w:t>postoperativ</w:t>
      </w:r>
      <w:proofErr w:type="spellEnd"/>
      <w:r w:rsidRPr="00485D46">
        <w:t xml:space="preserve">*)) ) </w:t>
      </w:r>
    </w:p>
    <w:p w14:paraId="2CBF7FDC" w14:textId="77777777" w:rsidR="00A52016" w:rsidRPr="00485D46" w:rsidRDefault="00A52016" w:rsidP="00A52016"/>
    <w:p w14:paraId="4998E3E7" w14:textId="77777777" w:rsidR="00A52016" w:rsidRPr="00485D46" w:rsidRDefault="00A52016" w:rsidP="00A52016">
      <w:r w:rsidRPr="00485D46">
        <w:t xml:space="preserve">S2    </w:t>
      </w:r>
      <w:proofErr w:type="spellStart"/>
      <w:r w:rsidRPr="00485D46">
        <w:t>forceplate</w:t>
      </w:r>
      <w:proofErr w:type="spellEnd"/>
      <w:r w:rsidRPr="00485D46">
        <w:t xml:space="preserve">* or force-plate* or force-platform* or balance-platform* or balance-board* or </w:t>
      </w:r>
      <w:proofErr w:type="spellStart"/>
      <w:r w:rsidRPr="00485D46">
        <w:t>wii</w:t>
      </w:r>
      <w:proofErr w:type="spellEnd"/>
      <w:r w:rsidRPr="00485D46">
        <w:t xml:space="preserve">-balance or unstable-platform or KAT-2000 or KAT2000 or platform-system or stability-system or balance-system or centre-of-gravity or center-of-gravity or balance-master or </w:t>
      </w:r>
      <w:proofErr w:type="spellStart"/>
      <w:r w:rsidRPr="00485D46">
        <w:t>Kistler</w:t>
      </w:r>
      <w:proofErr w:type="spellEnd"/>
      <w:r w:rsidRPr="00485D46">
        <w:t xml:space="preserve"> or GRF or GRFs or VGRF or VGRFs or ground-reaction-force* or kinetic* or center-of-pressure or centre-of-pressure or Reactive-strength-index-modified or </w:t>
      </w:r>
      <w:proofErr w:type="spellStart"/>
      <w:r w:rsidRPr="00485D46">
        <w:t>RSImod</w:t>
      </w:r>
      <w:proofErr w:type="spellEnd"/>
      <w:r w:rsidRPr="00485D46">
        <w:t xml:space="preserve"> or vertical-impulse or rate-of-force-development or force-production or jump-duration or flight-time or peak-force* or fatigue-index or reactive-strength-index or limb-impulse* or phase-specific or knee-extensor-power or muscle-power or time-curve or postural-stability or postural-instability or postural-balance or postural-control or postural-sway or postural-impairment* or dynamic-balance or dynamic-stability or dynamic-control or static-balance or static-stability or static-control or standing-balance or balance-impairment* or stabilometric or functional-test* or quiet-standing or hop-test or single-leg-hop or single-leg-squat or landing or (jump N2 height) or ((Bilateral or unilateral or countermovement or squat or drop or vertical) N4 jump*) or ((Leg or legs or limb or limbs or knee or knees or functional or strength or muscle or index or indices) N4 (</w:t>
      </w:r>
      <w:proofErr w:type="spellStart"/>
      <w:r w:rsidRPr="00485D46">
        <w:t>asymmetr</w:t>
      </w:r>
      <w:proofErr w:type="spellEnd"/>
      <w:r w:rsidRPr="00485D46">
        <w:t xml:space="preserve">* or </w:t>
      </w:r>
      <w:proofErr w:type="spellStart"/>
      <w:r w:rsidRPr="00485D46">
        <w:t>symmetr</w:t>
      </w:r>
      <w:proofErr w:type="spellEnd"/>
      <w:r w:rsidRPr="00485D46">
        <w:t>*))</w:t>
      </w:r>
    </w:p>
    <w:p w14:paraId="096BEB9D" w14:textId="77777777" w:rsidR="00A52016" w:rsidRPr="00485D46" w:rsidRDefault="00A52016" w:rsidP="00A52016"/>
    <w:p w14:paraId="0C3A9F95" w14:textId="77777777" w:rsidR="00A52016" w:rsidRPr="00485D46" w:rsidRDefault="00A52016" w:rsidP="00A52016">
      <w:proofErr w:type="gramStart"/>
      <w:r w:rsidRPr="00485D46">
        <w:t>S3  S1</w:t>
      </w:r>
      <w:proofErr w:type="gramEnd"/>
      <w:r w:rsidRPr="00485D46">
        <w:t xml:space="preserve"> AND S2</w:t>
      </w:r>
    </w:p>
    <w:p w14:paraId="4008DDC9" w14:textId="77777777" w:rsidR="00A52016" w:rsidRPr="00485D46" w:rsidRDefault="00A52016" w:rsidP="00A52016">
      <w:r w:rsidRPr="00485D46">
        <w:lastRenderedPageBreak/>
        <w:t xml:space="preserve">S4   S3    Limiters - Publication Type: Biography, Book Review, Editorial, Obituary, Pamphlet, Pamphlet Chapter, </w:t>
      </w:r>
      <w:proofErr w:type="gramStart"/>
      <w:r w:rsidRPr="00485D46">
        <w:t>Proceedings</w:t>
      </w:r>
      <w:proofErr w:type="gramEnd"/>
    </w:p>
    <w:p w14:paraId="2F314CE0" w14:textId="77777777" w:rsidR="00A52016" w:rsidRPr="00485D46" w:rsidRDefault="00A52016" w:rsidP="00A52016">
      <w:proofErr w:type="gramStart"/>
      <w:r w:rsidRPr="00485D46">
        <w:t>S5  S3</w:t>
      </w:r>
      <w:proofErr w:type="gramEnd"/>
      <w:r w:rsidRPr="00485D46">
        <w:t xml:space="preserve"> NOT S4</w:t>
      </w:r>
    </w:p>
    <w:p w14:paraId="115EF396" w14:textId="77777777" w:rsidR="00A52016" w:rsidRPr="00485D46" w:rsidRDefault="00A52016" w:rsidP="00A52016"/>
    <w:p w14:paraId="02B37C8A" w14:textId="77777777" w:rsidR="00A52016" w:rsidRPr="00485D46" w:rsidRDefault="00A52016" w:rsidP="00A52016"/>
    <w:p w14:paraId="3ABD72B4" w14:textId="77777777" w:rsidR="00A52016" w:rsidRPr="00485D46" w:rsidRDefault="00A52016" w:rsidP="00A52016">
      <w:pPr>
        <w:rPr>
          <w:b/>
        </w:rPr>
      </w:pPr>
      <w:proofErr w:type="spellStart"/>
      <w:r w:rsidRPr="00485D46">
        <w:rPr>
          <w:b/>
        </w:rPr>
        <w:t>SPORTDiscus</w:t>
      </w:r>
      <w:proofErr w:type="spellEnd"/>
      <w:r w:rsidRPr="00485D46">
        <w:rPr>
          <w:b/>
        </w:rPr>
        <w:t xml:space="preserve"> with Full Text (</w:t>
      </w:r>
      <w:proofErr w:type="spellStart"/>
      <w:r w:rsidRPr="00485D46">
        <w:rPr>
          <w:b/>
        </w:rPr>
        <w:t>EBSCOhose</w:t>
      </w:r>
      <w:proofErr w:type="spellEnd"/>
      <w:r w:rsidRPr="00485D46">
        <w:rPr>
          <w:b/>
        </w:rPr>
        <w:t xml:space="preserve"> interface)</w:t>
      </w:r>
    </w:p>
    <w:p w14:paraId="10E6428E" w14:textId="77777777" w:rsidR="00A52016" w:rsidRPr="00485D46" w:rsidRDefault="00A52016" w:rsidP="00A52016">
      <w:r w:rsidRPr="00485D46">
        <w:t>Date searched: June 5, 2020</w:t>
      </w:r>
    </w:p>
    <w:p w14:paraId="6C93FFED" w14:textId="77777777" w:rsidR="00A52016" w:rsidRPr="00485D46" w:rsidRDefault="00A52016" w:rsidP="00A52016">
      <w:r w:rsidRPr="00485D46">
        <w:t>Results: 846</w:t>
      </w:r>
    </w:p>
    <w:p w14:paraId="04CE05BC" w14:textId="77777777" w:rsidR="00A52016" w:rsidRPr="00485D46" w:rsidRDefault="00A52016" w:rsidP="00A52016"/>
    <w:p w14:paraId="6EBEC0A8" w14:textId="77777777" w:rsidR="00A52016" w:rsidRPr="00485D46" w:rsidRDefault="00A52016" w:rsidP="00A52016">
      <w:r w:rsidRPr="00485D46">
        <w:t xml:space="preserve">S1 </w:t>
      </w:r>
      <w:proofErr w:type="gramStart"/>
      <w:r w:rsidRPr="00485D46">
        <w:t>( (</w:t>
      </w:r>
      <w:proofErr w:type="gramEnd"/>
      <w:r w:rsidRPr="00485D46">
        <w:t xml:space="preserve"> (Anterior cruciate ligament or ACL) N8 (repair or reconstruct* or surgery or post-</w:t>
      </w:r>
      <w:proofErr w:type="spellStart"/>
      <w:r w:rsidRPr="00485D46">
        <w:t>operativ</w:t>
      </w:r>
      <w:proofErr w:type="spellEnd"/>
      <w:r w:rsidRPr="00485D46">
        <w:t xml:space="preserve">* or </w:t>
      </w:r>
      <w:proofErr w:type="spellStart"/>
      <w:r w:rsidRPr="00485D46">
        <w:t>postoperativ</w:t>
      </w:r>
      <w:proofErr w:type="spellEnd"/>
      <w:r w:rsidRPr="00485D46">
        <w:t xml:space="preserve">*)) ) AND ( </w:t>
      </w:r>
      <w:proofErr w:type="spellStart"/>
      <w:r w:rsidRPr="00485D46">
        <w:t>forceplate</w:t>
      </w:r>
      <w:proofErr w:type="spellEnd"/>
      <w:r w:rsidRPr="00485D46">
        <w:t xml:space="preserve">* or force-plate* or force-platform* or balance-platform* or balance-board* or </w:t>
      </w:r>
      <w:proofErr w:type="spellStart"/>
      <w:r w:rsidRPr="00485D46">
        <w:t>wii</w:t>
      </w:r>
      <w:proofErr w:type="spellEnd"/>
      <w:r w:rsidRPr="00485D46">
        <w:t xml:space="preserve">-balance or unstable-platform or KAT-2000 or KAT2000 or platform-system or stability-system or balance-system or centre-of-gravity or center-of-gravity or balance-master or </w:t>
      </w:r>
      <w:proofErr w:type="spellStart"/>
      <w:r w:rsidRPr="00485D46">
        <w:t>Kistler</w:t>
      </w:r>
      <w:proofErr w:type="spellEnd"/>
      <w:r w:rsidRPr="00485D46">
        <w:t xml:space="preserve"> or GRF or GRFs or VGRF or VGRFs or ground-reaction-force* or kinetic* or center-of-pressure or centre-of-pressure or Reactive-strength-index-modified or </w:t>
      </w:r>
      <w:proofErr w:type="spellStart"/>
      <w:r w:rsidRPr="00485D46">
        <w:t>RSImod</w:t>
      </w:r>
      <w:proofErr w:type="spellEnd"/>
      <w:r w:rsidRPr="00485D46">
        <w:t xml:space="preserve"> or vertical-impulse or rate-of-force-development or force-production or jump-duration or flight-time or peak-force* or fatigue-index or reactive-strength-index or limb-impulse* or phase-specific or knee-extensor-power or muscle-power or time-curve or postural-stability or postural-instability or postural-balance or postural-control or postural-sway or postural-impairment* or dynamic-balance or dynamic-stability or dynamic-control or static-balance or static-stability or static-control or standing-balance or balance-impairment* or stabilometric or functional-test* or quiet-standing or hop-test or single-leg-hop or single-leg-squat or landing or (jump N2 height) or ((Bilateral or unilateral or countermovement or squat or drop or vertical) N4 jump*) or ((Leg or legs or limb or limbs or knee or knees or functional or strength or muscle or index or indices) N4 (</w:t>
      </w:r>
      <w:proofErr w:type="spellStart"/>
      <w:r w:rsidRPr="00485D46">
        <w:t>asymmetr</w:t>
      </w:r>
      <w:proofErr w:type="spellEnd"/>
      <w:r w:rsidRPr="00485D46">
        <w:t xml:space="preserve">* or </w:t>
      </w:r>
      <w:proofErr w:type="spellStart"/>
      <w:r w:rsidRPr="00485D46">
        <w:t>symmetr</w:t>
      </w:r>
      <w:proofErr w:type="spellEnd"/>
      <w:r w:rsidRPr="00485D46">
        <w:t xml:space="preserve">*)) ) </w:t>
      </w:r>
    </w:p>
    <w:p w14:paraId="26F1D230" w14:textId="77777777" w:rsidR="00A52016" w:rsidRPr="00485D46" w:rsidRDefault="00A52016" w:rsidP="00A52016">
      <w:proofErr w:type="gramStart"/>
      <w:r w:rsidRPr="00485D46">
        <w:t>S2  S1</w:t>
      </w:r>
      <w:proofErr w:type="gramEnd"/>
      <w:r w:rsidRPr="00485D46">
        <w:t xml:space="preserve">     Limiters - Publication Type: Audio, Audiocassette, CD-ROM, Computer Disk or Diskette, Conference Proceeding, Newspaper, Newswire, Proceeding, Trade Publication, Video, Video Recording, Videocassette, URL </w:t>
      </w:r>
    </w:p>
    <w:p w14:paraId="2619374F" w14:textId="77777777" w:rsidR="00A52016" w:rsidRPr="00485D46" w:rsidRDefault="00A52016" w:rsidP="00A52016">
      <w:proofErr w:type="gramStart"/>
      <w:r w:rsidRPr="00485D46">
        <w:t>S3  S1</w:t>
      </w:r>
      <w:proofErr w:type="gramEnd"/>
      <w:r w:rsidRPr="00485D46">
        <w:t xml:space="preserve"> NOT S2   </w:t>
      </w:r>
    </w:p>
    <w:p w14:paraId="306B8A32" w14:textId="77777777" w:rsidR="00A52016" w:rsidRPr="00485D46" w:rsidRDefault="00A52016" w:rsidP="00A52016"/>
    <w:p w14:paraId="1AE98129" w14:textId="77777777" w:rsidR="00A52016" w:rsidRPr="00485D46" w:rsidRDefault="00A52016" w:rsidP="00A52016"/>
    <w:p w14:paraId="0B0CCE66" w14:textId="77777777" w:rsidR="00A52016" w:rsidRPr="00485D46" w:rsidRDefault="00A52016" w:rsidP="00A52016">
      <w:pPr>
        <w:rPr>
          <w:b/>
        </w:rPr>
      </w:pPr>
      <w:r w:rsidRPr="00485D46">
        <w:rPr>
          <w:b/>
        </w:rPr>
        <w:t xml:space="preserve">SCOPUS </w:t>
      </w:r>
    </w:p>
    <w:p w14:paraId="0556E3FE" w14:textId="77777777" w:rsidR="00A52016" w:rsidRPr="00485D46" w:rsidRDefault="00A52016" w:rsidP="00A52016">
      <w:r w:rsidRPr="00485D46">
        <w:t xml:space="preserve">Date </w:t>
      </w:r>
      <w:proofErr w:type="spellStart"/>
      <w:r w:rsidRPr="00485D46">
        <w:t>searched</w:t>
      </w:r>
      <w:proofErr w:type="gramStart"/>
      <w:r w:rsidRPr="00485D46">
        <w:t>:June</w:t>
      </w:r>
      <w:proofErr w:type="spellEnd"/>
      <w:proofErr w:type="gramEnd"/>
      <w:r w:rsidRPr="00485D46">
        <w:t xml:space="preserve"> 5, 2020</w:t>
      </w:r>
    </w:p>
    <w:p w14:paraId="71753EF1" w14:textId="77777777" w:rsidR="00A52016" w:rsidRPr="00485D46" w:rsidRDefault="00A52016" w:rsidP="00A52016">
      <w:r w:rsidRPr="00485D46">
        <w:t>Results: 1395</w:t>
      </w:r>
    </w:p>
    <w:p w14:paraId="39FCA22E" w14:textId="77777777" w:rsidR="00A52016" w:rsidRPr="00485D46" w:rsidRDefault="00A52016" w:rsidP="00A52016"/>
    <w:p w14:paraId="2BE697A7" w14:textId="77777777" w:rsidR="00A52016" w:rsidRPr="00485D46" w:rsidRDefault="00A52016" w:rsidP="00A52016">
      <w:r w:rsidRPr="00485D46">
        <w:t xml:space="preserve">TITLE-ABS-KEY ( ( anterior-cruciate-ligament  OR  </w:t>
      </w:r>
      <w:proofErr w:type="spellStart"/>
      <w:r w:rsidRPr="00485D46">
        <w:t>acl</w:t>
      </w:r>
      <w:proofErr w:type="spellEnd"/>
      <w:r w:rsidRPr="00485D46">
        <w:t xml:space="preserve"> )  W/8  ( repair  OR  reconstruct*  OR  surgery  OR  post-</w:t>
      </w:r>
      <w:proofErr w:type="spellStart"/>
      <w:r w:rsidRPr="00485D46">
        <w:t>operativ</w:t>
      </w:r>
      <w:proofErr w:type="spellEnd"/>
      <w:r w:rsidRPr="00485D46">
        <w:t xml:space="preserve">*  OR  </w:t>
      </w:r>
      <w:proofErr w:type="spellStart"/>
      <w:r w:rsidRPr="00485D46">
        <w:t>postoperativ</w:t>
      </w:r>
      <w:proofErr w:type="spellEnd"/>
      <w:r w:rsidRPr="00485D46">
        <w:t xml:space="preserve">* ) )  AND  TITLE-ABS-KEY ( </w:t>
      </w:r>
      <w:proofErr w:type="spellStart"/>
      <w:r w:rsidRPr="00485D46">
        <w:t>forceplate</w:t>
      </w:r>
      <w:proofErr w:type="spellEnd"/>
      <w:r w:rsidRPr="00485D46">
        <w:t xml:space="preserve">*  OR  force-plate*  OR  force-platform*  OR  balance-platform*  OR  balance-board*  OR  </w:t>
      </w:r>
      <w:proofErr w:type="spellStart"/>
      <w:r w:rsidRPr="00485D46">
        <w:t>wii</w:t>
      </w:r>
      <w:proofErr w:type="spellEnd"/>
      <w:r w:rsidRPr="00485D46">
        <w:t xml:space="preserve">-balance  OR  unstable-platform  OR  kat-2000  OR  kat2000  OR  platform-system  OR  stability-system  OR  balance-system  OR  centre-of-gravity  OR  center-of-gravity  OR  balance-master  OR  </w:t>
      </w:r>
      <w:proofErr w:type="spellStart"/>
      <w:r w:rsidRPr="00485D46">
        <w:t>kistler</w:t>
      </w:r>
      <w:proofErr w:type="spellEnd"/>
      <w:r w:rsidRPr="00485D46">
        <w:t xml:space="preserve">  OR  </w:t>
      </w:r>
      <w:proofErr w:type="spellStart"/>
      <w:r w:rsidRPr="00485D46">
        <w:t>grf</w:t>
      </w:r>
      <w:proofErr w:type="spellEnd"/>
      <w:r w:rsidRPr="00485D46">
        <w:t xml:space="preserve">  OR  </w:t>
      </w:r>
      <w:proofErr w:type="spellStart"/>
      <w:r w:rsidRPr="00485D46">
        <w:t>grfs</w:t>
      </w:r>
      <w:proofErr w:type="spellEnd"/>
      <w:r w:rsidRPr="00485D46">
        <w:t xml:space="preserve">  OR  </w:t>
      </w:r>
      <w:proofErr w:type="spellStart"/>
      <w:r w:rsidRPr="00485D46">
        <w:t>vgrf</w:t>
      </w:r>
      <w:proofErr w:type="spellEnd"/>
      <w:r w:rsidRPr="00485D46">
        <w:t xml:space="preserve">  OR  </w:t>
      </w:r>
      <w:proofErr w:type="spellStart"/>
      <w:r w:rsidRPr="00485D46">
        <w:t>vgrfs</w:t>
      </w:r>
      <w:proofErr w:type="spellEnd"/>
      <w:r w:rsidRPr="00485D46">
        <w:t xml:space="preserve">  OR  ground-reaction-force*  OR  kinetic*  OR  center-of-pressure  OR  centre-of-pressure  OR  reactive-strength-index-modified  OR  </w:t>
      </w:r>
      <w:proofErr w:type="spellStart"/>
      <w:r w:rsidRPr="00485D46">
        <w:t>rsimod</w:t>
      </w:r>
      <w:proofErr w:type="spellEnd"/>
      <w:r w:rsidRPr="00485D46">
        <w:t xml:space="preserve">  OR  vertical-impulse  OR  rate-of-force-development  OR  force-production  OR  jump-duration  OR  flight-time  OR  peak-force*  OR  fatigue-index  OR  reactive-strength-index  OR  limb-impulse*  OR  phase-specific  OR  knee-extensor-power  OR  muscle-power  OR  time-curve  OR  postural-stability  OR  postural-instability  OR  postural-balance  OR  postural-control  OR  </w:t>
      </w:r>
      <w:r w:rsidRPr="00485D46">
        <w:lastRenderedPageBreak/>
        <w:t xml:space="preserve">postural-sway  OR  postural-impairment*  OR  dynamic-balance  OR  dynamic-stability  OR  dynamic-control  OR  static-balance  OR  static-stability  OR  static-control  OR  standing-balance  OR  balance-impairment*  OR  stabilometric  OR  functional-test*  OR  quiet-standing  OR  hop-test  OR  single-leg-hop  OR  single-leg-squat  OR  landing  OR  ( jump  W/2  height )  OR  ( ( bilateral  OR  unilateral  OR  countermovement  OR  squat  OR  drop  OR  vertical )  W/4  jump* )  OR  ( ( leg  OR  legs  OR  limb  OR  limbs  OR  knee  OR  knees  OR  functional  OR  strength  OR  muscle  OR  index  OR  indices )  W/4  ( </w:t>
      </w:r>
      <w:proofErr w:type="spellStart"/>
      <w:r w:rsidRPr="00485D46">
        <w:t>asymmetr</w:t>
      </w:r>
      <w:proofErr w:type="spellEnd"/>
      <w:r w:rsidRPr="00485D46">
        <w:t xml:space="preserve">*  OR  </w:t>
      </w:r>
      <w:proofErr w:type="spellStart"/>
      <w:r w:rsidRPr="00485D46">
        <w:t>symmetr</w:t>
      </w:r>
      <w:proofErr w:type="spellEnd"/>
      <w:r w:rsidRPr="00485D46">
        <w:t>* ) ) )  AND  ( EXCLUDE ( DOCTYPE ,  "</w:t>
      </w:r>
      <w:proofErr w:type="spellStart"/>
      <w:r w:rsidRPr="00485D46">
        <w:t>cp</w:t>
      </w:r>
      <w:proofErr w:type="spellEnd"/>
      <w:r w:rsidRPr="00485D46">
        <w:t>" )  OR  EXCLUDE ( DOCTYPE ,  "no" )  OR  EXCLUDE ( DOCTYPE ,  "</w:t>
      </w:r>
      <w:proofErr w:type="spellStart"/>
      <w:r w:rsidRPr="00485D46">
        <w:t>ed</w:t>
      </w:r>
      <w:proofErr w:type="spellEnd"/>
      <w:r w:rsidRPr="00485D46">
        <w:t xml:space="preserve">" ) ) </w:t>
      </w:r>
    </w:p>
    <w:p w14:paraId="4854AC72" w14:textId="77777777" w:rsidR="00A52016" w:rsidRPr="00485D46" w:rsidRDefault="00A52016" w:rsidP="00A52016"/>
    <w:p w14:paraId="736875E4" w14:textId="77777777" w:rsidR="00A52016" w:rsidRPr="00485D46" w:rsidRDefault="00A52016" w:rsidP="00A52016">
      <w:pPr>
        <w:rPr>
          <w:b/>
        </w:rPr>
      </w:pPr>
    </w:p>
    <w:p w14:paraId="097F9BED" w14:textId="77777777" w:rsidR="00A52016" w:rsidRPr="00485D46" w:rsidRDefault="00A52016" w:rsidP="00A52016">
      <w:pPr>
        <w:rPr>
          <w:b/>
        </w:rPr>
      </w:pPr>
      <w:r w:rsidRPr="00485D46">
        <w:rPr>
          <w:b/>
        </w:rPr>
        <w:t xml:space="preserve">Web of </w:t>
      </w:r>
      <w:proofErr w:type="gramStart"/>
      <w:r w:rsidRPr="00485D46">
        <w:rPr>
          <w:b/>
        </w:rPr>
        <w:t xml:space="preserve">Science  </w:t>
      </w:r>
      <w:r w:rsidRPr="00485D46">
        <w:t>Indexes</w:t>
      </w:r>
      <w:proofErr w:type="gramEnd"/>
      <w:r w:rsidRPr="00485D46">
        <w:t xml:space="preserve">=SCI-EXPANDED, SSCI, A&amp;HCI, ESCI </w:t>
      </w:r>
    </w:p>
    <w:p w14:paraId="7F8D7C61" w14:textId="77777777" w:rsidR="00A52016" w:rsidRPr="00485D46" w:rsidRDefault="00A52016" w:rsidP="00A52016">
      <w:r w:rsidRPr="00485D46">
        <w:t>Date searched: June 5, 2020</w:t>
      </w:r>
    </w:p>
    <w:p w14:paraId="71E998A9" w14:textId="77777777" w:rsidR="00A52016" w:rsidRPr="00485D46" w:rsidRDefault="00A52016" w:rsidP="00A52016">
      <w:r w:rsidRPr="00485D46">
        <w:t>Results: 1259</w:t>
      </w:r>
    </w:p>
    <w:p w14:paraId="29927C50" w14:textId="77777777" w:rsidR="00A52016" w:rsidRPr="00485D46" w:rsidRDefault="00A52016" w:rsidP="00A52016">
      <w:r w:rsidRPr="00485D46">
        <w:t>TS=</w:t>
      </w:r>
      <w:proofErr w:type="gramStart"/>
      <w:r w:rsidRPr="00485D46">
        <w:t>( (</w:t>
      </w:r>
      <w:proofErr w:type="gramEnd"/>
      <w:r w:rsidRPr="00485D46">
        <w:t xml:space="preserve"> anterior-cruciate-ligament  OR  </w:t>
      </w:r>
      <w:proofErr w:type="spellStart"/>
      <w:r w:rsidRPr="00485D46">
        <w:t>acl</w:t>
      </w:r>
      <w:proofErr w:type="spellEnd"/>
      <w:r w:rsidRPr="00485D46">
        <w:t xml:space="preserve"> )  NEAR/8  ( repair  OR  reconstruct*  OR  surgery  OR  post-</w:t>
      </w:r>
      <w:proofErr w:type="spellStart"/>
      <w:r w:rsidRPr="00485D46">
        <w:t>operativ</w:t>
      </w:r>
      <w:proofErr w:type="spellEnd"/>
      <w:r w:rsidRPr="00485D46">
        <w:t xml:space="preserve">*  OR  </w:t>
      </w:r>
      <w:proofErr w:type="spellStart"/>
      <w:r w:rsidRPr="00485D46">
        <w:t>postoperativ</w:t>
      </w:r>
      <w:proofErr w:type="spellEnd"/>
      <w:r w:rsidRPr="00485D46">
        <w:t xml:space="preserve">* ) )  AND TS=( ( anterior-cruciate-ligament  OR  </w:t>
      </w:r>
      <w:proofErr w:type="spellStart"/>
      <w:r w:rsidRPr="00485D46">
        <w:t>acl</w:t>
      </w:r>
      <w:proofErr w:type="spellEnd"/>
      <w:r w:rsidRPr="00485D46">
        <w:t xml:space="preserve"> )  NEAR/8  ( repair  OR  reconstruct*  OR  surgery  OR  post-</w:t>
      </w:r>
      <w:proofErr w:type="spellStart"/>
      <w:r w:rsidRPr="00485D46">
        <w:t>operativ</w:t>
      </w:r>
      <w:proofErr w:type="spellEnd"/>
      <w:r w:rsidRPr="00485D46">
        <w:t xml:space="preserve">*  OR  </w:t>
      </w:r>
      <w:proofErr w:type="spellStart"/>
      <w:r w:rsidRPr="00485D46">
        <w:t>postoperativ</w:t>
      </w:r>
      <w:proofErr w:type="spellEnd"/>
      <w:r w:rsidRPr="00485D46">
        <w:t xml:space="preserve">* ) )   AND DOCUMENT  TYPES:  (Article OR Book OR Book Chapter OR Correction OR Data Paper OR Letter OR Note OR Retracted Publication OR Retraction OR Review) </w:t>
      </w:r>
    </w:p>
    <w:p w14:paraId="73B7D8B5" w14:textId="77777777" w:rsidR="00A52016" w:rsidRPr="00485D46" w:rsidRDefault="00A52016" w:rsidP="00A52016">
      <w:r w:rsidRPr="00485D46">
        <w:t>Indexes=SCI-EXPANDED, SSCI, A&amp;HCI, ESCI Timespan=All years</w:t>
      </w:r>
    </w:p>
    <w:p w14:paraId="6F019B2D" w14:textId="77777777" w:rsidR="00A52016" w:rsidRPr="00485D46" w:rsidRDefault="00A52016" w:rsidP="00A52016"/>
    <w:p w14:paraId="2BAAFE44" w14:textId="77777777" w:rsidR="00A52016" w:rsidRPr="00485D46" w:rsidRDefault="00A52016" w:rsidP="00A52016"/>
    <w:p w14:paraId="59E9465A" w14:textId="77777777" w:rsidR="00A52016" w:rsidRPr="00485D46" w:rsidRDefault="00A52016" w:rsidP="00A52016">
      <w:pPr>
        <w:rPr>
          <w:b/>
        </w:rPr>
      </w:pPr>
      <w:r w:rsidRPr="00485D46">
        <w:rPr>
          <w:b/>
        </w:rPr>
        <w:t xml:space="preserve">Dissertations and Theses </w:t>
      </w:r>
      <w:proofErr w:type="gramStart"/>
      <w:r w:rsidRPr="00485D46">
        <w:rPr>
          <w:b/>
        </w:rPr>
        <w:t>Global(</w:t>
      </w:r>
      <w:proofErr w:type="spellStart"/>
      <w:proofErr w:type="gramEnd"/>
      <w:r w:rsidRPr="00485D46">
        <w:rPr>
          <w:b/>
        </w:rPr>
        <w:t>Proquest</w:t>
      </w:r>
      <w:proofErr w:type="spellEnd"/>
      <w:r w:rsidRPr="00485D46">
        <w:rPr>
          <w:b/>
        </w:rPr>
        <w:t xml:space="preserve"> interface)</w:t>
      </w:r>
    </w:p>
    <w:p w14:paraId="653CC7C1" w14:textId="77777777" w:rsidR="00A52016" w:rsidRPr="00485D46" w:rsidRDefault="00A52016" w:rsidP="00A52016">
      <w:r w:rsidRPr="00485D46">
        <w:t xml:space="preserve">Date </w:t>
      </w:r>
      <w:proofErr w:type="spellStart"/>
      <w:r w:rsidRPr="00485D46">
        <w:t>searched</w:t>
      </w:r>
      <w:proofErr w:type="gramStart"/>
      <w:r w:rsidRPr="00485D46">
        <w:t>:June</w:t>
      </w:r>
      <w:proofErr w:type="spellEnd"/>
      <w:proofErr w:type="gramEnd"/>
      <w:r w:rsidRPr="00485D46">
        <w:t xml:space="preserve"> 5, 2020</w:t>
      </w:r>
    </w:p>
    <w:p w14:paraId="67C827E1" w14:textId="77777777" w:rsidR="00A52016" w:rsidRPr="00485D46" w:rsidRDefault="00A52016" w:rsidP="00A52016">
      <w:r w:rsidRPr="00485D46">
        <w:t>Results: 118</w:t>
      </w:r>
    </w:p>
    <w:p w14:paraId="04AECABE" w14:textId="77777777" w:rsidR="00A52016" w:rsidRPr="00485D46" w:rsidRDefault="00A52016" w:rsidP="00A52016"/>
    <w:p w14:paraId="40A492FF" w14:textId="77777777" w:rsidR="00A52016" w:rsidRPr="00485D46" w:rsidRDefault="00A52016" w:rsidP="00A52016">
      <w:proofErr w:type="spellStart"/>
      <w:proofErr w:type="gramStart"/>
      <w:r w:rsidRPr="00485D46">
        <w:t>noft</w:t>
      </w:r>
      <w:proofErr w:type="spellEnd"/>
      <w:proofErr w:type="gramEnd"/>
      <w:r w:rsidRPr="00485D46">
        <w:t xml:space="preserve">(((anterior-cruciate-ligament OR </w:t>
      </w:r>
      <w:proofErr w:type="spellStart"/>
      <w:r w:rsidRPr="00485D46">
        <w:t>acl</w:t>
      </w:r>
      <w:proofErr w:type="spellEnd"/>
      <w:r w:rsidRPr="00485D46">
        <w:t>) NEAR/8 (repair OR reconstruct* OR surgery OR post-</w:t>
      </w:r>
      <w:proofErr w:type="spellStart"/>
      <w:r w:rsidRPr="00485D46">
        <w:t>operativ</w:t>
      </w:r>
      <w:proofErr w:type="spellEnd"/>
      <w:r w:rsidRPr="00485D46">
        <w:t xml:space="preserve">* OR </w:t>
      </w:r>
      <w:proofErr w:type="spellStart"/>
      <w:r w:rsidRPr="00485D46">
        <w:t>postoperativ</w:t>
      </w:r>
      <w:proofErr w:type="spellEnd"/>
      <w:r w:rsidRPr="00485D46">
        <w:t>*))) AND (</w:t>
      </w:r>
      <w:proofErr w:type="spellStart"/>
      <w:r w:rsidRPr="00485D46">
        <w:t>forceplate</w:t>
      </w:r>
      <w:proofErr w:type="spellEnd"/>
      <w:r w:rsidRPr="00485D46">
        <w:t xml:space="preserve">* or force-plate* or force-platform* or balance-platform* or balance-board* or </w:t>
      </w:r>
      <w:proofErr w:type="spellStart"/>
      <w:r w:rsidRPr="00485D46">
        <w:t>wii</w:t>
      </w:r>
      <w:proofErr w:type="spellEnd"/>
      <w:r w:rsidRPr="00485D46">
        <w:t>-balance or unstable-platform or KAT-2000 or KAT2000 or platform-system or stability-system or balance-system)</w:t>
      </w:r>
    </w:p>
    <w:p w14:paraId="04A80E6B" w14:textId="77777777" w:rsidR="00A52016" w:rsidRPr="00485D46" w:rsidRDefault="00A52016" w:rsidP="00A52016"/>
    <w:p w14:paraId="3F2E1E84" w14:textId="520FDFAA" w:rsidR="00A52016" w:rsidRPr="00485D46" w:rsidRDefault="00A52016" w:rsidP="00A52016">
      <w:pPr>
        <w:jc w:val="center"/>
        <w:rPr>
          <w:color w:val="000000" w:themeColor="text1"/>
        </w:rPr>
      </w:pPr>
    </w:p>
    <w:sectPr w:rsidR="00A52016" w:rsidRPr="00485D46">
      <w:pgSz w:w="12240" w:h="15840"/>
      <w:pgMar w:top="1440" w:right="1440" w:bottom="144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3651E" w16cex:dateUtc="2020-06-16T21:34:00Z"/>
  <w16cex:commentExtensible w16cex:durableId="229366A7" w16cex:dateUtc="2020-06-16T21:41:00Z"/>
  <w16cex:commentExtensible w16cex:durableId="229366C4" w16cex:dateUtc="2020-06-16T21:41: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B1E8E"/>
    <w:multiLevelType w:val="hybridMultilevel"/>
    <w:tmpl w:val="6E82E308"/>
    <w:lvl w:ilvl="0" w:tplc="40DCB7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117FCA"/>
    <w:multiLevelType w:val="hybridMultilevel"/>
    <w:tmpl w:val="918412F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0117530"/>
    <w:multiLevelType w:val="hybridMultilevel"/>
    <w:tmpl w:val="E132C882"/>
    <w:lvl w:ilvl="0" w:tplc="824058BE">
      <w:start w:val="7"/>
      <w:numFmt w:val="decimal"/>
      <w:lvlText w:val="%1."/>
      <w:lvlJc w:val="left"/>
      <w:pPr>
        <w:ind w:left="2520" w:hanging="360"/>
      </w:pPr>
      <w:rPr>
        <w:rFonts w:ascii="Arial" w:hAnsi="Arial" w:cs="Arial" w:hint="default"/>
        <w:sz w:val="22"/>
        <w:szCs w:val="22"/>
      </w:rPr>
    </w:lvl>
    <w:lvl w:ilvl="1" w:tplc="04090019">
      <w:start w:val="1"/>
      <w:numFmt w:val="lowerLetter"/>
      <w:lvlText w:val="%2."/>
      <w:lvlJc w:val="left"/>
      <w:pPr>
        <w:ind w:left="6660" w:hanging="360"/>
      </w:pPr>
    </w:lvl>
    <w:lvl w:ilvl="2" w:tplc="0409001B">
      <w:start w:val="1"/>
      <w:numFmt w:val="lowerRoman"/>
      <w:lvlText w:val="%3."/>
      <w:lvlJc w:val="right"/>
      <w:pPr>
        <w:ind w:left="7380" w:hanging="180"/>
      </w:pPr>
    </w:lvl>
    <w:lvl w:ilvl="3" w:tplc="0409000F" w:tentative="1">
      <w:start w:val="1"/>
      <w:numFmt w:val="decimal"/>
      <w:lvlText w:val="%4."/>
      <w:lvlJc w:val="left"/>
      <w:pPr>
        <w:ind w:left="8100" w:hanging="360"/>
      </w:pPr>
    </w:lvl>
    <w:lvl w:ilvl="4" w:tplc="04090019" w:tentative="1">
      <w:start w:val="1"/>
      <w:numFmt w:val="lowerLetter"/>
      <w:lvlText w:val="%5."/>
      <w:lvlJc w:val="left"/>
      <w:pPr>
        <w:ind w:left="8820" w:hanging="360"/>
      </w:pPr>
    </w:lvl>
    <w:lvl w:ilvl="5" w:tplc="0409001B" w:tentative="1">
      <w:start w:val="1"/>
      <w:numFmt w:val="lowerRoman"/>
      <w:lvlText w:val="%6."/>
      <w:lvlJc w:val="right"/>
      <w:pPr>
        <w:ind w:left="9540" w:hanging="180"/>
      </w:pPr>
    </w:lvl>
    <w:lvl w:ilvl="6" w:tplc="0409000F" w:tentative="1">
      <w:start w:val="1"/>
      <w:numFmt w:val="decimal"/>
      <w:lvlText w:val="%7."/>
      <w:lvlJc w:val="left"/>
      <w:pPr>
        <w:ind w:left="10260" w:hanging="360"/>
      </w:pPr>
    </w:lvl>
    <w:lvl w:ilvl="7" w:tplc="04090019" w:tentative="1">
      <w:start w:val="1"/>
      <w:numFmt w:val="lowerLetter"/>
      <w:lvlText w:val="%8."/>
      <w:lvlJc w:val="left"/>
      <w:pPr>
        <w:ind w:left="10980" w:hanging="360"/>
      </w:pPr>
    </w:lvl>
    <w:lvl w:ilvl="8" w:tplc="0409001B" w:tentative="1">
      <w:start w:val="1"/>
      <w:numFmt w:val="lowerRoman"/>
      <w:lvlText w:val="%9."/>
      <w:lvlJc w:val="right"/>
      <w:pPr>
        <w:ind w:left="11700" w:hanging="180"/>
      </w:pPr>
    </w:lvl>
  </w:abstractNum>
  <w:abstractNum w:abstractNumId="3">
    <w:nsid w:val="2B227146"/>
    <w:multiLevelType w:val="hybridMultilevel"/>
    <w:tmpl w:val="EF2ADEF6"/>
    <w:lvl w:ilvl="0" w:tplc="F086FBB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C09000F">
      <w:start w:val="1"/>
      <w:numFmt w:val="decimal"/>
      <w:lvlText w:val="%3."/>
      <w:lvlJc w:val="left"/>
      <w:pPr>
        <w:ind w:left="2340" w:hanging="360"/>
      </w:pPr>
      <w:rPr>
        <w:rFonts w:hint="default"/>
      </w:rPr>
    </w:lvl>
    <w:lvl w:ilvl="3" w:tplc="45428976">
      <w:start w:val="3"/>
      <w:numFmt w:val="decimal"/>
      <w:lvlText w:val="%4."/>
      <w:lvlJc w:val="left"/>
      <w:pPr>
        <w:ind w:left="144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714CFC"/>
    <w:multiLevelType w:val="hybridMultilevel"/>
    <w:tmpl w:val="38D24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A5077D"/>
    <w:multiLevelType w:val="hybridMultilevel"/>
    <w:tmpl w:val="E3303BC4"/>
    <w:lvl w:ilvl="0" w:tplc="435A66B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8E5728"/>
    <w:multiLevelType w:val="hybridMultilevel"/>
    <w:tmpl w:val="CFEC344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FD3554D"/>
    <w:multiLevelType w:val="hybridMultilevel"/>
    <w:tmpl w:val="335E0FA2"/>
    <w:lvl w:ilvl="0" w:tplc="10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421A10D4"/>
    <w:multiLevelType w:val="hybridMultilevel"/>
    <w:tmpl w:val="C2060546"/>
    <w:lvl w:ilvl="0" w:tplc="05EA53D8">
      <w:start w:val="1"/>
      <w:numFmt w:val="decimal"/>
      <w:lvlText w:val="%1."/>
      <w:lvlJc w:val="left"/>
      <w:pPr>
        <w:ind w:left="1440" w:hanging="360"/>
      </w:pPr>
      <w:rPr>
        <w:rFonts w:hint="default"/>
        <w:i w:val="0"/>
      </w:r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
    <w:nsid w:val="445959F8"/>
    <w:multiLevelType w:val="hybridMultilevel"/>
    <w:tmpl w:val="A26CA214"/>
    <w:lvl w:ilvl="0" w:tplc="10FCFA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32D2C8A"/>
    <w:multiLevelType w:val="hybridMultilevel"/>
    <w:tmpl w:val="E4B21D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58286B"/>
    <w:multiLevelType w:val="hybridMultilevel"/>
    <w:tmpl w:val="E13C37B6"/>
    <w:lvl w:ilvl="0" w:tplc="A06A95A2">
      <w:start w:val="1"/>
      <w:numFmt w:val="decimal"/>
      <w:lvlText w:val="%1."/>
      <w:lvlJc w:val="left"/>
      <w:pPr>
        <w:ind w:left="720" w:hanging="360"/>
      </w:pPr>
      <w:rPr>
        <w:rFonts w:ascii="Arial" w:hAnsi="Arial" w:cs="Arial"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C43B90"/>
    <w:multiLevelType w:val="hybridMultilevel"/>
    <w:tmpl w:val="FB0EF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2635BD"/>
    <w:multiLevelType w:val="hybridMultilevel"/>
    <w:tmpl w:val="0FA8FDD6"/>
    <w:lvl w:ilvl="0" w:tplc="8310A65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EB27AF"/>
    <w:multiLevelType w:val="hybridMultilevel"/>
    <w:tmpl w:val="DB7A7780"/>
    <w:lvl w:ilvl="0" w:tplc="5ECAEC3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nsid w:val="734314FE"/>
    <w:multiLevelType w:val="hybridMultilevel"/>
    <w:tmpl w:val="F42AA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CA2397"/>
    <w:multiLevelType w:val="hybridMultilevel"/>
    <w:tmpl w:val="597ECB80"/>
    <w:lvl w:ilvl="0" w:tplc="664039F6">
      <w:start w:val="1"/>
      <w:numFmt w:val="decimal"/>
      <w:lvlText w:val="%1."/>
      <w:lvlJc w:val="left"/>
      <w:pPr>
        <w:ind w:left="644" w:hanging="360"/>
      </w:pPr>
      <w:rPr>
        <w:rFonts w:ascii="Arial" w:eastAsiaTheme="minorEastAsia" w:hAnsi="Arial" w:cs="Times New Roman"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9D3647"/>
    <w:multiLevelType w:val="hybridMultilevel"/>
    <w:tmpl w:val="CD3C2FC8"/>
    <w:lvl w:ilvl="0" w:tplc="6BBC90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5C6BA9"/>
    <w:multiLevelType w:val="hybridMultilevel"/>
    <w:tmpl w:val="17B628F2"/>
    <w:lvl w:ilvl="0" w:tplc="2CAC51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EA2F60"/>
    <w:multiLevelType w:val="hybridMultilevel"/>
    <w:tmpl w:val="E530F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3"/>
  </w:num>
  <w:num w:numId="4">
    <w:abstractNumId w:val="2"/>
  </w:num>
  <w:num w:numId="5">
    <w:abstractNumId w:val="16"/>
  </w:num>
  <w:num w:numId="6">
    <w:abstractNumId w:val="7"/>
  </w:num>
  <w:num w:numId="7">
    <w:abstractNumId w:val="8"/>
  </w:num>
  <w:num w:numId="8">
    <w:abstractNumId w:val="6"/>
  </w:num>
  <w:num w:numId="9">
    <w:abstractNumId w:val="19"/>
  </w:num>
  <w:num w:numId="10">
    <w:abstractNumId w:val="15"/>
  </w:num>
  <w:num w:numId="11">
    <w:abstractNumId w:val="4"/>
  </w:num>
  <w:num w:numId="12">
    <w:abstractNumId w:val="11"/>
  </w:num>
  <w:num w:numId="13">
    <w:abstractNumId w:val="5"/>
  </w:num>
  <w:num w:numId="14">
    <w:abstractNumId w:val="9"/>
  </w:num>
  <w:num w:numId="15">
    <w:abstractNumId w:val="0"/>
  </w:num>
  <w:num w:numId="16">
    <w:abstractNumId w:val="13"/>
  </w:num>
  <w:num w:numId="17">
    <w:abstractNumId w:val="17"/>
  </w:num>
  <w:num w:numId="18">
    <w:abstractNumId w:val="18"/>
  </w:num>
  <w:num w:numId="19">
    <w:abstractNumId w:val="1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F56"/>
    <w:rsid w:val="00011F57"/>
    <w:rsid w:val="00015040"/>
    <w:rsid w:val="00055263"/>
    <w:rsid w:val="00055E0A"/>
    <w:rsid w:val="00077C9B"/>
    <w:rsid w:val="00091BF3"/>
    <w:rsid w:val="000977A6"/>
    <w:rsid w:val="000979AF"/>
    <w:rsid w:val="000A08D1"/>
    <w:rsid w:val="000A0966"/>
    <w:rsid w:val="000A453B"/>
    <w:rsid w:val="000A73AD"/>
    <w:rsid w:val="000D13D0"/>
    <w:rsid w:val="000D296A"/>
    <w:rsid w:val="000E04B0"/>
    <w:rsid w:val="000F66E0"/>
    <w:rsid w:val="001116AF"/>
    <w:rsid w:val="00122884"/>
    <w:rsid w:val="0012443D"/>
    <w:rsid w:val="0012496C"/>
    <w:rsid w:val="00141FE8"/>
    <w:rsid w:val="00142D98"/>
    <w:rsid w:val="00154D1A"/>
    <w:rsid w:val="00161132"/>
    <w:rsid w:val="0016577E"/>
    <w:rsid w:val="00182A45"/>
    <w:rsid w:val="0018404A"/>
    <w:rsid w:val="00185AB5"/>
    <w:rsid w:val="001955A3"/>
    <w:rsid w:val="001A061D"/>
    <w:rsid w:val="001A3757"/>
    <w:rsid w:val="001A5C2D"/>
    <w:rsid w:val="001A686E"/>
    <w:rsid w:val="001C4659"/>
    <w:rsid w:val="001D3E23"/>
    <w:rsid w:val="001D4326"/>
    <w:rsid w:val="0020076D"/>
    <w:rsid w:val="002200BF"/>
    <w:rsid w:val="00220102"/>
    <w:rsid w:val="0022116F"/>
    <w:rsid w:val="00231AD1"/>
    <w:rsid w:val="00233695"/>
    <w:rsid w:val="00262CCF"/>
    <w:rsid w:val="0028648A"/>
    <w:rsid w:val="002D44E0"/>
    <w:rsid w:val="00320162"/>
    <w:rsid w:val="00321964"/>
    <w:rsid w:val="00341683"/>
    <w:rsid w:val="00357E53"/>
    <w:rsid w:val="00363C71"/>
    <w:rsid w:val="00366FCC"/>
    <w:rsid w:val="00374969"/>
    <w:rsid w:val="003A1C5C"/>
    <w:rsid w:val="003B5626"/>
    <w:rsid w:val="003B58BF"/>
    <w:rsid w:val="003E0248"/>
    <w:rsid w:val="003E6A58"/>
    <w:rsid w:val="003F3CF5"/>
    <w:rsid w:val="003F7CB7"/>
    <w:rsid w:val="004069ED"/>
    <w:rsid w:val="0041424F"/>
    <w:rsid w:val="00416C9B"/>
    <w:rsid w:val="00437C78"/>
    <w:rsid w:val="004406ED"/>
    <w:rsid w:val="0045154B"/>
    <w:rsid w:val="00454009"/>
    <w:rsid w:val="00477B40"/>
    <w:rsid w:val="00481F18"/>
    <w:rsid w:val="00485D46"/>
    <w:rsid w:val="00497346"/>
    <w:rsid w:val="004A0FD3"/>
    <w:rsid w:val="004B2C47"/>
    <w:rsid w:val="00510F91"/>
    <w:rsid w:val="00521C05"/>
    <w:rsid w:val="00542F76"/>
    <w:rsid w:val="00573F56"/>
    <w:rsid w:val="00585907"/>
    <w:rsid w:val="005864EB"/>
    <w:rsid w:val="005873C1"/>
    <w:rsid w:val="0059323F"/>
    <w:rsid w:val="005A3833"/>
    <w:rsid w:val="005C1798"/>
    <w:rsid w:val="005C3962"/>
    <w:rsid w:val="005C60DE"/>
    <w:rsid w:val="005D0E2E"/>
    <w:rsid w:val="005D475A"/>
    <w:rsid w:val="005E00DF"/>
    <w:rsid w:val="006013CB"/>
    <w:rsid w:val="006325B9"/>
    <w:rsid w:val="006328D7"/>
    <w:rsid w:val="006425E0"/>
    <w:rsid w:val="00651643"/>
    <w:rsid w:val="00654FC0"/>
    <w:rsid w:val="00664E99"/>
    <w:rsid w:val="006774E7"/>
    <w:rsid w:val="006B729B"/>
    <w:rsid w:val="006C4BCD"/>
    <w:rsid w:val="006D7349"/>
    <w:rsid w:val="006E0F1B"/>
    <w:rsid w:val="006E5237"/>
    <w:rsid w:val="006F2898"/>
    <w:rsid w:val="00710988"/>
    <w:rsid w:val="00715E6A"/>
    <w:rsid w:val="00720EF5"/>
    <w:rsid w:val="00726DF5"/>
    <w:rsid w:val="007668FA"/>
    <w:rsid w:val="007670B5"/>
    <w:rsid w:val="00781D55"/>
    <w:rsid w:val="007936EA"/>
    <w:rsid w:val="007A1670"/>
    <w:rsid w:val="007A2847"/>
    <w:rsid w:val="007B7A47"/>
    <w:rsid w:val="007C0C86"/>
    <w:rsid w:val="007C6F48"/>
    <w:rsid w:val="007D1453"/>
    <w:rsid w:val="007E6FD3"/>
    <w:rsid w:val="007E7738"/>
    <w:rsid w:val="007F1316"/>
    <w:rsid w:val="008041CA"/>
    <w:rsid w:val="0080712F"/>
    <w:rsid w:val="00817740"/>
    <w:rsid w:val="00824274"/>
    <w:rsid w:val="0084051A"/>
    <w:rsid w:val="00860DF5"/>
    <w:rsid w:val="00861C89"/>
    <w:rsid w:val="00875FC8"/>
    <w:rsid w:val="00876EF8"/>
    <w:rsid w:val="00885114"/>
    <w:rsid w:val="00887E42"/>
    <w:rsid w:val="008B559C"/>
    <w:rsid w:val="008D1386"/>
    <w:rsid w:val="008D3B53"/>
    <w:rsid w:val="008F7806"/>
    <w:rsid w:val="009176A9"/>
    <w:rsid w:val="0092139C"/>
    <w:rsid w:val="0092303D"/>
    <w:rsid w:val="00931D83"/>
    <w:rsid w:val="00932009"/>
    <w:rsid w:val="00945D53"/>
    <w:rsid w:val="009479B7"/>
    <w:rsid w:val="00963359"/>
    <w:rsid w:val="0097651E"/>
    <w:rsid w:val="009A37D4"/>
    <w:rsid w:val="009A533C"/>
    <w:rsid w:val="009C6767"/>
    <w:rsid w:val="009F2968"/>
    <w:rsid w:val="009F748D"/>
    <w:rsid w:val="00A359B8"/>
    <w:rsid w:val="00A4126A"/>
    <w:rsid w:val="00A421A1"/>
    <w:rsid w:val="00A42CFB"/>
    <w:rsid w:val="00A47A30"/>
    <w:rsid w:val="00A52016"/>
    <w:rsid w:val="00A7521C"/>
    <w:rsid w:val="00A7584D"/>
    <w:rsid w:val="00A8151D"/>
    <w:rsid w:val="00A82B75"/>
    <w:rsid w:val="00A83DCA"/>
    <w:rsid w:val="00A85DD0"/>
    <w:rsid w:val="00A9301F"/>
    <w:rsid w:val="00AB2D0E"/>
    <w:rsid w:val="00AE20A1"/>
    <w:rsid w:val="00AE62A6"/>
    <w:rsid w:val="00AE72CD"/>
    <w:rsid w:val="00AF0152"/>
    <w:rsid w:val="00AF3E41"/>
    <w:rsid w:val="00B03AFB"/>
    <w:rsid w:val="00B1289D"/>
    <w:rsid w:val="00B31EE9"/>
    <w:rsid w:val="00B44773"/>
    <w:rsid w:val="00B463DE"/>
    <w:rsid w:val="00B51C42"/>
    <w:rsid w:val="00B576DA"/>
    <w:rsid w:val="00B64287"/>
    <w:rsid w:val="00B7571C"/>
    <w:rsid w:val="00B80253"/>
    <w:rsid w:val="00BE78E2"/>
    <w:rsid w:val="00C02A4E"/>
    <w:rsid w:val="00C0680A"/>
    <w:rsid w:val="00C101E8"/>
    <w:rsid w:val="00C257E5"/>
    <w:rsid w:val="00C27FF2"/>
    <w:rsid w:val="00C30587"/>
    <w:rsid w:val="00C34E5F"/>
    <w:rsid w:val="00C42BE8"/>
    <w:rsid w:val="00C42F51"/>
    <w:rsid w:val="00C43E76"/>
    <w:rsid w:val="00C96A60"/>
    <w:rsid w:val="00CD725F"/>
    <w:rsid w:val="00D22627"/>
    <w:rsid w:val="00D456A8"/>
    <w:rsid w:val="00D532ED"/>
    <w:rsid w:val="00D6445C"/>
    <w:rsid w:val="00D83E33"/>
    <w:rsid w:val="00D93860"/>
    <w:rsid w:val="00D93AE8"/>
    <w:rsid w:val="00DA632F"/>
    <w:rsid w:val="00DB3EF9"/>
    <w:rsid w:val="00DE041B"/>
    <w:rsid w:val="00DE5673"/>
    <w:rsid w:val="00E14EB0"/>
    <w:rsid w:val="00E21F11"/>
    <w:rsid w:val="00E22FEC"/>
    <w:rsid w:val="00E362A9"/>
    <w:rsid w:val="00E36614"/>
    <w:rsid w:val="00E36A76"/>
    <w:rsid w:val="00E458DA"/>
    <w:rsid w:val="00E6003F"/>
    <w:rsid w:val="00E959D4"/>
    <w:rsid w:val="00EA0039"/>
    <w:rsid w:val="00EB5BC1"/>
    <w:rsid w:val="00EB7E15"/>
    <w:rsid w:val="00EC5296"/>
    <w:rsid w:val="00ED340F"/>
    <w:rsid w:val="00EE3D96"/>
    <w:rsid w:val="00EF3E1C"/>
    <w:rsid w:val="00EF3E3B"/>
    <w:rsid w:val="00EF400C"/>
    <w:rsid w:val="00F17D74"/>
    <w:rsid w:val="00F30117"/>
    <w:rsid w:val="00F40194"/>
    <w:rsid w:val="00F41601"/>
    <w:rsid w:val="00F50321"/>
    <w:rsid w:val="00F6763F"/>
    <w:rsid w:val="00F67D3F"/>
    <w:rsid w:val="00F71F36"/>
    <w:rsid w:val="00F80B0C"/>
    <w:rsid w:val="00F93112"/>
    <w:rsid w:val="00FB3C44"/>
    <w:rsid w:val="00FB595A"/>
    <w:rsid w:val="00FB757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BF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B53"/>
    <w:rPr>
      <w:rFonts w:ascii="Times New Roman" w:eastAsia="Times New Roman" w:hAnsi="Times New Roman" w:cs="Times New Roman"/>
    </w:rPr>
  </w:style>
  <w:style w:type="paragraph" w:styleId="Heading1">
    <w:name w:val="heading 1"/>
    <w:basedOn w:val="Normal"/>
    <w:link w:val="Heading1Char"/>
    <w:uiPriority w:val="9"/>
    <w:qFormat/>
    <w:rsid w:val="00416C9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73F56"/>
    <w:rPr>
      <w:sz w:val="22"/>
      <w:szCs w:val="22"/>
    </w:rPr>
  </w:style>
  <w:style w:type="character" w:customStyle="1" w:styleId="NoSpacingChar">
    <w:name w:val="No Spacing Char"/>
    <w:basedOn w:val="DefaultParagraphFont"/>
    <w:link w:val="NoSpacing"/>
    <w:uiPriority w:val="1"/>
    <w:rsid w:val="00573F56"/>
    <w:rPr>
      <w:sz w:val="22"/>
      <w:szCs w:val="22"/>
    </w:rPr>
  </w:style>
  <w:style w:type="paragraph" w:styleId="ListParagraph">
    <w:name w:val="List Paragraph"/>
    <w:basedOn w:val="Normal"/>
    <w:uiPriority w:val="34"/>
    <w:qFormat/>
    <w:rsid w:val="00573F56"/>
    <w:pPr>
      <w:ind w:left="720"/>
      <w:contextualSpacing/>
    </w:pPr>
    <w:rPr>
      <w:rFonts w:asciiTheme="minorHAnsi" w:eastAsiaTheme="minorHAnsi" w:hAnsiTheme="minorHAnsi" w:cstheme="minorBidi"/>
      <w:lang w:val="en-US"/>
    </w:rPr>
  </w:style>
  <w:style w:type="paragraph" w:styleId="BalloonText">
    <w:name w:val="Balloon Text"/>
    <w:basedOn w:val="Normal"/>
    <w:link w:val="BalloonTextChar"/>
    <w:uiPriority w:val="99"/>
    <w:semiHidden/>
    <w:unhideWhenUsed/>
    <w:rsid w:val="007B7A4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7A47"/>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542F76"/>
    <w:rPr>
      <w:sz w:val="18"/>
      <w:szCs w:val="18"/>
    </w:rPr>
  </w:style>
  <w:style w:type="paragraph" w:styleId="CommentText">
    <w:name w:val="annotation text"/>
    <w:basedOn w:val="Normal"/>
    <w:link w:val="CommentTextChar"/>
    <w:uiPriority w:val="99"/>
    <w:unhideWhenUsed/>
    <w:rsid w:val="00542F76"/>
  </w:style>
  <w:style w:type="character" w:customStyle="1" w:styleId="CommentTextChar">
    <w:name w:val="Comment Text Char"/>
    <w:basedOn w:val="DefaultParagraphFont"/>
    <w:link w:val="CommentText"/>
    <w:uiPriority w:val="99"/>
    <w:rsid w:val="00542F76"/>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542F76"/>
    <w:rPr>
      <w:b/>
      <w:bCs/>
      <w:sz w:val="20"/>
      <w:szCs w:val="20"/>
    </w:rPr>
  </w:style>
  <w:style w:type="character" w:customStyle="1" w:styleId="CommentSubjectChar">
    <w:name w:val="Comment Subject Char"/>
    <w:basedOn w:val="CommentTextChar"/>
    <w:link w:val="CommentSubject"/>
    <w:uiPriority w:val="99"/>
    <w:semiHidden/>
    <w:rsid w:val="00542F76"/>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0A73AD"/>
    <w:rPr>
      <w:color w:val="0000FF"/>
      <w:u w:val="single"/>
    </w:rPr>
  </w:style>
  <w:style w:type="character" w:customStyle="1" w:styleId="xref-sep">
    <w:name w:val="xref-sep"/>
    <w:basedOn w:val="DefaultParagraphFont"/>
    <w:rsid w:val="000A73AD"/>
  </w:style>
  <w:style w:type="character" w:styleId="Emphasis">
    <w:name w:val="Emphasis"/>
    <w:basedOn w:val="DefaultParagraphFont"/>
    <w:uiPriority w:val="20"/>
    <w:qFormat/>
    <w:rsid w:val="00A82B75"/>
    <w:rPr>
      <w:i/>
      <w:iCs/>
    </w:rPr>
  </w:style>
  <w:style w:type="table" w:styleId="TableGrid">
    <w:name w:val="Table Grid"/>
    <w:basedOn w:val="TableNormal"/>
    <w:uiPriority w:val="39"/>
    <w:rsid w:val="001A5C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16C9B"/>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416C9B"/>
    <w:pPr>
      <w:spacing w:before="100" w:beforeAutospacing="1" w:after="100" w:afterAutospacing="1"/>
    </w:pPr>
  </w:style>
  <w:style w:type="character" w:styleId="Strong">
    <w:name w:val="Strong"/>
    <w:basedOn w:val="DefaultParagraphFont"/>
    <w:uiPriority w:val="22"/>
    <w:qFormat/>
    <w:rsid w:val="00416C9B"/>
    <w:rPr>
      <w:b/>
      <w:bCs/>
    </w:rPr>
  </w:style>
  <w:style w:type="table" w:customStyle="1" w:styleId="PlainTable12">
    <w:name w:val="Plain Table 12"/>
    <w:basedOn w:val="TableNormal"/>
    <w:uiPriority w:val="99"/>
    <w:rsid w:val="00D532ED"/>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ghtShading-Accent3">
    <w:name w:val="Light Shading Accent 3"/>
    <w:basedOn w:val="TableNormal"/>
    <w:uiPriority w:val="60"/>
    <w:rsid w:val="00B7571C"/>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
    <w:name w:val="Light Shading"/>
    <w:basedOn w:val="TableNormal"/>
    <w:uiPriority w:val="60"/>
    <w:rsid w:val="00A7584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6325B9"/>
    <w:rPr>
      <w:rFonts w:ascii="Times New Roman" w:eastAsia="Times New Roman" w:hAnsi="Times New Roman" w:cs="Times New Roman"/>
    </w:rPr>
  </w:style>
  <w:style w:type="character" w:customStyle="1" w:styleId="UnresolvedMention">
    <w:name w:val="Unresolved Mention"/>
    <w:basedOn w:val="DefaultParagraphFont"/>
    <w:uiPriority w:val="99"/>
    <w:semiHidden/>
    <w:unhideWhenUsed/>
    <w:rsid w:val="00091BF3"/>
    <w:rPr>
      <w:color w:val="605E5C"/>
      <w:shd w:val="clear" w:color="auto" w:fill="E1DFDD"/>
    </w:rPr>
  </w:style>
  <w:style w:type="character" w:styleId="FollowedHyperlink">
    <w:name w:val="FollowedHyperlink"/>
    <w:basedOn w:val="DefaultParagraphFont"/>
    <w:uiPriority w:val="99"/>
    <w:semiHidden/>
    <w:unhideWhenUsed/>
    <w:rsid w:val="00B576DA"/>
    <w:rPr>
      <w:color w:val="954F72" w:themeColor="followedHyperlink"/>
      <w:u w:val="single"/>
    </w:rPr>
  </w:style>
  <w:style w:type="table" w:customStyle="1" w:styleId="GridTable4-Accent31">
    <w:name w:val="Grid Table 4 - Accent 31"/>
    <w:basedOn w:val="TableNormal"/>
    <w:uiPriority w:val="49"/>
    <w:rsid w:val="00861C89"/>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ption">
    <w:name w:val="caption"/>
    <w:basedOn w:val="Normal"/>
    <w:next w:val="Normal"/>
    <w:uiPriority w:val="35"/>
    <w:unhideWhenUsed/>
    <w:qFormat/>
    <w:rsid w:val="00861C89"/>
    <w:pPr>
      <w:spacing w:after="200"/>
    </w:pPr>
    <w:rPr>
      <w:i/>
      <w:iCs/>
      <w:color w:val="44546A" w:themeColor="text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B53"/>
    <w:rPr>
      <w:rFonts w:ascii="Times New Roman" w:eastAsia="Times New Roman" w:hAnsi="Times New Roman" w:cs="Times New Roman"/>
    </w:rPr>
  </w:style>
  <w:style w:type="paragraph" w:styleId="Heading1">
    <w:name w:val="heading 1"/>
    <w:basedOn w:val="Normal"/>
    <w:link w:val="Heading1Char"/>
    <w:uiPriority w:val="9"/>
    <w:qFormat/>
    <w:rsid w:val="00416C9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73F56"/>
    <w:rPr>
      <w:sz w:val="22"/>
      <w:szCs w:val="22"/>
    </w:rPr>
  </w:style>
  <w:style w:type="character" w:customStyle="1" w:styleId="NoSpacingChar">
    <w:name w:val="No Spacing Char"/>
    <w:basedOn w:val="DefaultParagraphFont"/>
    <w:link w:val="NoSpacing"/>
    <w:uiPriority w:val="1"/>
    <w:rsid w:val="00573F56"/>
    <w:rPr>
      <w:sz w:val="22"/>
      <w:szCs w:val="22"/>
    </w:rPr>
  </w:style>
  <w:style w:type="paragraph" w:styleId="ListParagraph">
    <w:name w:val="List Paragraph"/>
    <w:basedOn w:val="Normal"/>
    <w:uiPriority w:val="34"/>
    <w:qFormat/>
    <w:rsid w:val="00573F56"/>
    <w:pPr>
      <w:ind w:left="720"/>
      <w:contextualSpacing/>
    </w:pPr>
    <w:rPr>
      <w:rFonts w:asciiTheme="minorHAnsi" w:eastAsiaTheme="minorHAnsi" w:hAnsiTheme="minorHAnsi" w:cstheme="minorBidi"/>
      <w:lang w:val="en-US"/>
    </w:rPr>
  </w:style>
  <w:style w:type="paragraph" w:styleId="BalloonText">
    <w:name w:val="Balloon Text"/>
    <w:basedOn w:val="Normal"/>
    <w:link w:val="BalloonTextChar"/>
    <w:uiPriority w:val="99"/>
    <w:semiHidden/>
    <w:unhideWhenUsed/>
    <w:rsid w:val="007B7A4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7A47"/>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542F76"/>
    <w:rPr>
      <w:sz w:val="18"/>
      <w:szCs w:val="18"/>
    </w:rPr>
  </w:style>
  <w:style w:type="paragraph" w:styleId="CommentText">
    <w:name w:val="annotation text"/>
    <w:basedOn w:val="Normal"/>
    <w:link w:val="CommentTextChar"/>
    <w:uiPriority w:val="99"/>
    <w:unhideWhenUsed/>
    <w:rsid w:val="00542F76"/>
  </w:style>
  <w:style w:type="character" w:customStyle="1" w:styleId="CommentTextChar">
    <w:name w:val="Comment Text Char"/>
    <w:basedOn w:val="DefaultParagraphFont"/>
    <w:link w:val="CommentText"/>
    <w:uiPriority w:val="99"/>
    <w:rsid w:val="00542F76"/>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542F76"/>
    <w:rPr>
      <w:b/>
      <w:bCs/>
      <w:sz w:val="20"/>
      <w:szCs w:val="20"/>
    </w:rPr>
  </w:style>
  <w:style w:type="character" w:customStyle="1" w:styleId="CommentSubjectChar">
    <w:name w:val="Comment Subject Char"/>
    <w:basedOn w:val="CommentTextChar"/>
    <w:link w:val="CommentSubject"/>
    <w:uiPriority w:val="99"/>
    <w:semiHidden/>
    <w:rsid w:val="00542F76"/>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0A73AD"/>
    <w:rPr>
      <w:color w:val="0000FF"/>
      <w:u w:val="single"/>
    </w:rPr>
  </w:style>
  <w:style w:type="character" w:customStyle="1" w:styleId="xref-sep">
    <w:name w:val="xref-sep"/>
    <w:basedOn w:val="DefaultParagraphFont"/>
    <w:rsid w:val="000A73AD"/>
  </w:style>
  <w:style w:type="character" w:styleId="Emphasis">
    <w:name w:val="Emphasis"/>
    <w:basedOn w:val="DefaultParagraphFont"/>
    <w:uiPriority w:val="20"/>
    <w:qFormat/>
    <w:rsid w:val="00A82B75"/>
    <w:rPr>
      <w:i/>
      <w:iCs/>
    </w:rPr>
  </w:style>
  <w:style w:type="table" w:styleId="TableGrid">
    <w:name w:val="Table Grid"/>
    <w:basedOn w:val="TableNormal"/>
    <w:uiPriority w:val="39"/>
    <w:rsid w:val="001A5C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16C9B"/>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416C9B"/>
    <w:pPr>
      <w:spacing w:before="100" w:beforeAutospacing="1" w:after="100" w:afterAutospacing="1"/>
    </w:pPr>
  </w:style>
  <w:style w:type="character" w:styleId="Strong">
    <w:name w:val="Strong"/>
    <w:basedOn w:val="DefaultParagraphFont"/>
    <w:uiPriority w:val="22"/>
    <w:qFormat/>
    <w:rsid w:val="00416C9B"/>
    <w:rPr>
      <w:b/>
      <w:bCs/>
    </w:rPr>
  </w:style>
  <w:style w:type="table" w:customStyle="1" w:styleId="PlainTable12">
    <w:name w:val="Plain Table 12"/>
    <w:basedOn w:val="TableNormal"/>
    <w:uiPriority w:val="99"/>
    <w:rsid w:val="00D532ED"/>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ghtShading-Accent3">
    <w:name w:val="Light Shading Accent 3"/>
    <w:basedOn w:val="TableNormal"/>
    <w:uiPriority w:val="60"/>
    <w:rsid w:val="00B7571C"/>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
    <w:name w:val="Light Shading"/>
    <w:basedOn w:val="TableNormal"/>
    <w:uiPriority w:val="60"/>
    <w:rsid w:val="00A7584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6325B9"/>
    <w:rPr>
      <w:rFonts w:ascii="Times New Roman" w:eastAsia="Times New Roman" w:hAnsi="Times New Roman" w:cs="Times New Roman"/>
    </w:rPr>
  </w:style>
  <w:style w:type="character" w:customStyle="1" w:styleId="UnresolvedMention">
    <w:name w:val="Unresolved Mention"/>
    <w:basedOn w:val="DefaultParagraphFont"/>
    <w:uiPriority w:val="99"/>
    <w:semiHidden/>
    <w:unhideWhenUsed/>
    <w:rsid w:val="00091BF3"/>
    <w:rPr>
      <w:color w:val="605E5C"/>
      <w:shd w:val="clear" w:color="auto" w:fill="E1DFDD"/>
    </w:rPr>
  </w:style>
  <w:style w:type="character" w:styleId="FollowedHyperlink">
    <w:name w:val="FollowedHyperlink"/>
    <w:basedOn w:val="DefaultParagraphFont"/>
    <w:uiPriority w:val="99"/>
    <w:semiHidden/>
    <w:unhideWhenUsed/>
    <w:rsid w:val="00B576DA"/>
    <w:rPr>
      <w:color w:val="954F72" w:themeColor="followedHyperlink"/>
      <w:u w:val="single"/>
    </w:rPr>
  </w:style>
  <w:style w:type="table" w:customStyle="1" w:styleId="GridTable4-Accent31">
    <w:name w:val="Grid Table 4 - Accent 31"/>
    <w:basedOn w:val="TableNormal"/>
    <w:uiPriority w:val="49"/>
    <w:rsid w:val="00861C89"/>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ption">
    <w:name w:val="caption"/>
    <w:basedOn w:val="Normal"/>
    <w:next w:val="Normal"/>
    <w:uiPriority w:val="35"/>
    <w:unhideWhenUsed/>
    <w:qFormat/>
    <w:rsid w:val="00861C89"/>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9914">
      <w:bodyDiv w:val="1"/>
      <w:marLeft w:val="0"/>
      <w:marRight w:val="0"/>
      <w:marTop w:val="0"/>
      <w:marBottom w:val="0"/>
      <w:divBdr>
        <w:top w:val="none" w:sz="0" w:space="0" w:color="auto"/>
        <w:left w:val="none" w:sz="0" w:space="0" w:color="auto"/>
        <w:bottom w:val="none" w:sz="0" w:space="0" w:color="auto"/>
        <w:right w:val="none" w:sz="0" w:space="0" w:color="auto"/>
      </w:divBdr>
    </w:div>
    <w:div w:id="66540015">
      <w:bodyDiv w:val="1"/>
      <w:marLeft w:val="0"/>
      <w:marRight w:val="0"/>
      <w:marTop w:val="0"/>
      <w:marBottom w:val="0"/>
      <w:divBdr>
        <w:top w:val="none" w:sz="0" w:space="0" w:color="auto"/>
        <w:left w:val="none" w:sz="0" w:space="0" w:color="auto"/>
        <w:bottom w:val="none" w:sz="0" w:space="0" w:color="auto"/>
        <w:right w:val="none" w:sz="0" w:space="0" w:color="auto"/>
      </w:divBdr>
    </w:div>
    <w:div w:id="86776767">
      <w:bodyDiv w:val="1"/>
      <w:marLeft w:val="0"/>
      <w:marRight w:val="0"/>
      <w:marTop w:val="0"/>
      <w:marBottom w:val="0"/>
      <w:divBdr>
        <w:top w:val="none" w:sz="0" w:space="0" w:color="auto"/>
        <w:left w:val="none" w:sz="0" w:space="0" w:color="auto"/>
        <w:bottom w:val="none" w:sz="0" w:space="0" w:color="auto"/>
        <w:right w:val="none" w:sz="0" w:space="0" w:color="auto"/>
      </w:divBdr>
    </w:div>
    <w:div w:id="187574227">
      <w:bodyDiv w:val="1"/>
      <w:marLeft w:val="0"/>
      <w:marRight w:val="0"/>
      <w:marTop w:val="0"/>
      <w:marBottom w:val="0"/>
      <w:divBdr>
        <w:top w:val="none" w:sz="0" w:space="0" w:color="auto"/>
        <w:left w:val="none" w:sz="0" w:space="0" w:color="auto"/>
        <w:bottom w:val="none" w:sz="0" w:space="0" w:color="auto"/>
        <w:right w:val="none" w:sz="0" w:space="0" w:color="auto"/>
      </w:divBdr>
    </w:div>
    <w:div w:id="400981756">
      <w:bodyDiv w:val="1"/>
      <w:marLeft w:val="0"/>
      <w:marRight w:val="0"/>
      <w:marTop w:val="0"/>
      <w:marBottom w:val="0"/>
      <w:divBdr>
        <w:top w:val="none" w:sz="0" w:space="0" w:color="auto"/>
        <w:left w:val="none" w:sz="0" w:space="0" w:color="auto"/>
        <w:bottom w:val="none" w:sz="0" w:space="0" w:color="auto"/>
        <w:right w:val="none" w:sz="0" w:space="0" w:color="auto"/>
      </w:divBdr>
      <w:divsChild>
        <w:div w:id="1986396881">
          <w:marLeft w:val="0"/>
          <w:marRight w:val="0"/>
          <w:marTop w:val="332"/>
          <w:marBottom w:val="332"/>
          <w:divBdr>
            <w:top w:val="none" w:sz="0" w:space="0" w:color="auto"/>
            <w:left w:val="none" w:sz="0" w:space="0" w:color="auto"/>
            <w:bottom w:val="none" w:sz="0" w:space="0" w:color="auto"/>
            <w:right w:val="none" w:sz="0" w:space="0" w:color="auto"/>
          </w:divBdr>
          <w:divsChild>
            <w:div w:id="212071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92218">
      <w:bodyDiv w:val="1"/>
      <w:marLeft w:val="0"/>
      <w:marRight w:val="0"/>
      <w:marTop w:val="0"/>
      <w:marBottom w:val="0"/>
      <w:divBdr>
        <w:top w:val="none" w:sz="0" w:space="0" w:color="auto"/>
        <w:left w:val="none" w:sz="0" w:space="0" w:color="auto"/>
        <w:bottom w:val="none" w:sz="0" w:space="0" w:color="auto"/>
        <w:right w:val="none" w:sz="0" w:space="0" w:color="auto"/>
      </w:divBdr>
    </w:div>
    <w:div w:id="503251328">
      <w:bodyDiv w:val="1"/>
      <w:marLeft w:val="0"/>
      <w:marRight w:val="0"/>
      <w:marTop w:val="0"/>
      <w:marBottom w:val="0"/>
      <w:divBdr>
        <w:top w:val="none" w:sz="0" w:space="0" w:color="auto"/>
        <w:left w:val="none" w:sz="0" w:space="0" w:color="auto"/>
        <w:bottom w:val="none" w:sz="0" w:space="0" w:color="auto"/>
        <w:right w:val="none" w:sz="0" w:space="0" w:color="auto"/>
      </w:divBdr>
    </w:div>
    <w:div w:id="535854760">
      <w:bodyDiv w:val="1"/>
      <w:marLeft w:val="0"/>
      <w:marRight w:val="0"/>
      <w:marTop w:val="0"/>
      <w:marBottom w:val="0"/>
      <w:divBdr>
        <w:top w:val="none" w:sz="0" w:space="0" w:color="auto"/>
        <w:left w:val="none" w:sz="0" w:space="0" w:color="auto"/>
        <w:bottom w:val="none" w:sz="0" w:space="0" w:color="auto"/>
        <w:right w:val="none" w:sz="0" w:space="0" w:color="auto"/>
      </w:divBdr>
    </w:div>
    <w:div w:id="717438274">
      <w:bodyDiv w:val="1"/>
      <w:marLeft w:val="0"/>
      <w:marRight w:val="0"/>
      <w:marTop w:val="0"/>
      <w:marBottom w:val="0"/>
      <w:divBdr>
        <w:top w:val="none" w:sz="0" w:space="0" w:color="auto"/>
        <w:left w:val="none" w:sz="0" w:space="0" w:color="auto"/>
        <w:bottom w:val="none" w:sz="0" w:space="0" w:color="auto"/>
        <w:right w:val="none" w:sz="0" w:space="0" w:color="auto"/>
      </w:divBdr>
    </w:div>
    <w:div w:id="718359583">
      <w:bodyDiv w:val="1"/>
      <w:marLeft w:val="0"/>
      <w:marRight w:val="0"/>
      <w:marTop w:val="0"/>
      <w:marBottom w:val="0"/>
      <w:divBdr>
        <w:top w:val="none" w:sz="0" w:space="0" w:color="auto"/>
        <w:left w:val="none" w:sz="0" w:space="0" w:color="auto"/>
        <w:bottom w:val="none" w:sz="0" w:space="0" w:color="auto"/>
        <w:right w:val="none" w:sz="0" w:space="0" w:color="auto"/>
      </w:divBdr>
    </w:div>
    <w:div w:id="770707809">
      <w:bodyDiv w:val="1"/>
      <w:marLeft w:val="0"/>
      <w:marRight w:val="0"/>
      <w:marTop w:val="0"/>
      <w:marBottom w:val="0"/>
      <w:divBdr>
        <w:top w:val="none" w:sz="0" w:space="0" w:color="auto"/>
        <w:left w:val="none" w:sz="0" w:space="0" w:color="auto"/>
        <w:bottom w:val="none" w:sz="0" w:space="0" w:color="auto"/>
        <w:right w:val="none" w:sz="0" w:space="0" w:color="auto"/>
      </w:divBdr>
    </w:div>
    <w:div w:id="783309219">
      <w:bodyDiv w:val="1"/>
      <w:marLeft w:val="0"/>
      <w:marRight w:val="0"/>
      <w:marTop w:val="0"/>
      <w:marBottom w:val="0"/>
      <w:divBdr>
        <w:top w:val="none" w:sz="0" w:space="0" w:color="auto"/>
        <w:left w:val="none" w:sz="0" w:space="0" w:color="auto"/>
        <w:bottom w:val="none" w:sz="0" w:space="0" w:color="auto"/>
        <w:right w:val="none" w:sz="0" w:space="0" w:color="auto"/>
      </w:divBdr>
    </w:div>
    <w:div w:id="796948306">
      <w:bodyDiv w:val="1"/>
      <w:marLeft w:val="0"/>
      <w:marRight w:val="0"/>
      <w:marTop w:val="0"/>
      <w:marBottom w:val="0"/>
      <w:divBdr>
        <w:top w:val="none" w:sz="0" w:space="0" w:color="auto"/>
        <w:left w:val="none" w:sz="0" w:space="0" w:color="auto"/>
        <w:bottom w:val="none" w:sz="0" w:space="0" w:color="auto"/>
        <w:right w:val="none" w:sz="0" w:space="0" w:color="auto"/>
      </w:divBdr>
    </w:div>
    <w:div w:id="955133841">
      <w:bodyDiv w:val="1"/>
      <w:marLeft w:val="0"/>
      <w:marRight w:val="0"/>
      <w:marTop w:val="0"/>
      <w:marBottom w:val="0"/>
      <w:divBdr>
        <w:top w:val="none" w:sz="0" w:space="0" w:color="auto"/>
        <w:left w:val="none" w:sz="0" w:space="0" w:color="auto"/>
        <w:bottom w:val="none" w:sz="0" w:space="0" w:color="auto"/>
        <w:right w:val="none" w:sz="0" w:space="0" w:color="auto"/>
      </w:divBdr>
    </w:div>
    <w:div w:id="961305969">
      <w:bodyDiv w:val="1"/>
      <w:marLeft w:val="0"/>
      <w:marRight w:val="0"/>
      <w:marTop w:val="0"/>
      <w:marBottom w:val="0"/>
      <w:divBdr>
        <w:top w:val="none" w:sz="0" w:space="0" w:color="auto"/>
        <w:left w:val="none" w:sz="0" w:space="0" w:color="auto"/>
        <w:bottom w:val="none" w:sz="0" w:space="0" w:color="auto"/>
        <w:right w:val="none" w:sz="0" w:space="0" w:color="auto"/>
      </w:divBdr>
    </w:div>
    <w:div w:id="1162819482">
      <w:bodyDiv w:val="1"/>
      <w:marLeft w:val="0"/>
      <w:marRight w:val="0"/>
      <w:marTop w:val="0"/>
      <w:marBottom w:val="0"/>
      <w:divBdr>
        <w:top w:val="none" w:sz="0" w:space="0" w:color="auto"/>
        <w:left w:val="none" w:sz="0" w:space="0" w:color="auto"/>
        <w:bottom w:val="none" w:sz="0" w:space="0" w:color="auto"/>
        <w:right w:val="none" w:sz="0" w:space="0" w:color="auto"/>
      </w:divBdr>
    </w:div>
    <w:div w:id="1250508597">
      <w:bodyDiv w:val="1"/>
      <w:marLeft w:val="0"/>
      <w:marRight w:val="0"/>
      <w:marTop w:val="0"/>
      <w:marBottom w:val="0"/>
      <w:divBdr>
        <w:top w:val="none" w:sz="0" w:space="0" w:color="auto"/>
        <w:left w:val="none" w:sz="0" w:space="0" w:color="auto"/>
        <w:bottom w:val="none" w:sz="0" w:space="0" w:color="auto"/>
        <w:right w:val="none" w:sz="0" w:space="0" w:color="auto"/>
      </w:divBdr>
    </w:div>
    <w:div w:id="1254820224">
      <w:bodyDiv w:val="1"/>
      <w:marLeft w:val="0"/>
      <w:marRight w:val="0"/>
      <w:marTop w:val="0"/>
      <w:marBottom w:val="0"/>
      <w:divBdr>
        <w:top w:val="none" w:sz="0" w:space="0" w:color="auto"/>
        <w:left w:val="none" w:sz="0" w:space="0" w:color="auto"/>
        <w:bottom w:val="none" w:sz="0" w:space="0" w:color="auto"/>
        <w:right w:val="none" w:sz="0" w:space="0" w:color="auto"/>
      </w:divBdr>
    </w:div>
    <w:div w:id="1326981404">
      <w:bodyDiv w:val="1"/>
      <w:marLeft w:val="0"/>
      <w:marRight w:val="0"/>
      <w:marTop w:val="0"/>
      <w:marBottom w:val="0"/>
      <w:divBdr>
        <w:top w:val="none" w:sz="0" w:space="0" w:color="auto"/>
        <w:left w:val="none" w:sz="0" w:space="0" w:color="auto"/>
        <w:bottom w:val="none" w:sz="0" w:space="0" w:color="auto"/>
        <w:right w:val="none" w:sz="0" w:space="0" w:color="auto"/>
      </w:divBdr>
    </w:div>
    <w:div w:id="1503397599">
      <w:bodyDiv w:val="1"/>
      <w:marLeft w:val="0"/>
      <w:marRight w:val="0"/>
      <w:marTop w:val="0"/>
      <w:marBottom w:val="0"/>
      <w:divBdr>
        <w:top w:val="none" w:sz="0" w:space="0" w:color="auto"/>
        <w:left w:val="none" w:sz="0" w:space="0" w:color="auto"/>
        <w:bottom w:val="none" w:sz="0" w:space="0" w:color="auto"/>
        <w:right w:val="none" w:sz="0" w:space="0" w:color="auto"/>
      </w:divBdr>
    </w:div>
    <w:div w:id="1664503178">
      <w:bodyDiv w:val="1"/>
      <w:marLeft w:val="0"/>
      <w:marRight w:val="0"/>
      <w:marTop w:val="0"/>
      <w:marBottom w:val="0"/>
      <w:divBdr>
        <w:top w:val="none" w:sz="0" w:space="0" w:color="auto"/>
        <w:left w:val="none" w:sz="0" w:space="0" w:color="auto"/>
        <w:bottom w:val="none" w:sz="0" w:space="0" w:color="auto"/>
        <w:right w:val="none" w:sz="0" w:space="0" w:color="auto"/>
      </w:divBdr>
    </w:div>
    <w:div w:id="1676953073">
      <w:bodyDiv w:val="1"/>
      <w:marLeft w:val="0"/>
      <w:marRight w:val="0"/>
      <w:marTop w:val="0"/>
      <w:marBottom w:val="0"/>
      <w:divBdr>
        <w:top w:val="none" w:sz="0" w:space="0" w:color="auto"/>
        <w:left w:val="none" w:sz="0" w:space="0" w:color="auto"/>
        <w:bottom w:val="none" w:sz="0" w:space="0" w:color="auto"/>
        <w:right w:val="none" w:sz="0" w:space="0" w:color="auto"/>
      </w:divBdr>
    </w:div>
    <w:div w:id="1767532483">
      <w:bodyDiv w:val="1"/>
      <w:marLeft w:val="0"/>
      <w:marRight w:val="0"/>
      <w:marTop w:val="0"/>
      <w:marBottom w:val="0"/>
      <w:divBdr>
        <w:top w:val="none" w:sz="0" w:space="0" w:color="auto"/>
        <w:left w:val="none" w:sz="0" w:space="0" w:color="auto"/>
        <w:bottom w:val="none" w:sz="0" w:space="0" w:color="auto"/>
        <w:right w:val="none" w:sz="0" w:space="0" w:color="auto"/>
      </w:divBdr>
    </w:div>
    <w:div w:id="1991518305">
      <w:bodyDiv w:val="1"/>
      <w:marLeft w:val="0"/>
      <w:marRight w:val="0"/>
      <w:marTop w:val="0"/>
      <w:marBottom w:val="0"/>
      <w:divBdr>
        <w:top w:val="none" w:sz="0" w:space="0" w:color="auto"/>
        <w:left w:val="none" w:sz="0" w:space="0" w:color="auto"/>
        <w:bottom w:val="none" w:sz="0" w:space="0" w:color="auto"/>
        <w:right w:val="none" w:sz="0" w:space="0" w:color="auto"/>
      </w:divBdr>
    </w:div>
    <w:div w:id="201105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covidence.org" TargetMode="External"/><Relationship Id="rId8" Type="http://schemas.openxmlformats.org/officeDocument/2006/relationships/fontTable" Target="fontTable.xml"/><Relationship Id="rId9" Type="http://schemas.openxmlformats.org/officeDocument/2006/relationships/theme" Target="theme/theme1.xml"/><Relationship Id="rId10" Type="http://schemas.microsoft.com/office/2018/08/relationships/commentsExtensible" Target="commentsExtensible.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E71E1-F40C-724C-B757-CB5433C35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17762</Words>
  <Characters>101245</Characters>
  <Application>Microsoft Macintosh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Wasim  Labban</dc:creator>
  <cp:keywords/>
  <dc:description/>
  <cp:lastModifiedBy>Wasim Labban</cp:lastModifiedBy>
  <cp:revision>2</cp:revision>
  <dcterms:created xsi:type="dcterms:W3CDTF">2021-04-14T03:03:00Z</dcterms:created>
  <dcterms:modified xsi:type="dcterms:W3CDTF">2021-04-14T03:03:00Z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http://www.zotero.org/styles/springer-basic-brackets-no-et-al</vt:lpwstr>
  </property>
  <property fmtid="{D5CDD505-2E9C-101B-9397-08002B2CF9AE}" pid="19" name="Mendeley Recent Style Name 8_1">
    <vt:lpwstr>Springer - Basic (numeric, brackets, no "et al.")</vt:lpwstr>
  </property>
  <property fmtid="{D5CDD505-2E9C-101B-9397-08002B2CF9AE}" pid="20" name="Mendeley Recent Style Id 9_1">
    <vt:lpwstr>http://www.zotero.org/styles/springer-basic-brackets-no-et-al-alphabetical</vt:lpwstr>
  </property>
  <property fmtid="{D5CDD505-2E9C-101B-9397-08002B2CF9AE}" pid="21" name="Mendeley Recent Style Name 9_1">
    <vt:lpwstr>Springer - Basic (numeric, brackets, no "et al.", alphabetical)</vt:lpwstr>
  </property>
  <property fmtid="{D5CDD505-2E9C-101B-9397-08002B2CF9AE}" pid="22" name="Mendeley Document_1">
    <vt:lpwstr>True</vt:lpwstr>
  </property>
  <property fmtid="{D5CDD505-2E9C-101B-9397-08002B2CF9AE}" pid="23" name="Mendeley Unique User Id_1">
    <vt:lpwstr>27f4a072-48c2-32ca-8d3a-c74504856187</vt:lpwstr>
  </property>
  <property fmtid="{D5CDD505-2E9C-101B-9397-08002B2CF9AE}" pid="24" name="Mendeley Citation Style_1">
    <vt:lpwstr>http://www.zotero.org/styles/nature</vt:lpwstr>
  </property>
</Properties>
</file>