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2F8BA49" w14:textId="77777777" w:rsidR="003741E6" w:rsidRPr="00A129B5" w:rsidRDefault="00A95527" w:rsidP="000A6772">
      <w:pPr>
        <w:pStyle w:val="Heading1"/>
        <w:ind w:right="-138"/>
        <w:jc w:val="center"/>
        <w:rPr>
          <w:rFonts w:cs="Times New Roman"/>
        </w:rPr>
      </w:pPr>
      <w:bookmarkStart w:id="0" w:name="_Toc320568474"/>
      <w:r>
        <w:rPr>
          <w:rFonts w:cs="Times New Roman"/>
        </w:rPr>
        <w:t xml:space="preserve">INDIRECT AND DIRECT </w:t>
      </w:r>
      <w:r w:rsidRPr="00A129B5">
        <w:rPr>
          <w:rFonts w:cs="Times New Roman"/>
        </w:rPr>
        <w:t>MICROWAVE</w:t>
      </w:r>
      <w:r w:rsidR="003741E6" w:rsidRPr="00A129B5">
        <w:rPr>
          <w:rFonts w:cs="Times New Roman"/>
        </w:rPr>
        <w:t xml:space="preserve"> REGENERATION OF Na-ETS-10</w:t>
      </w:r>
      <w:bookmarkEnd w:id="0"/>
    </w:p>
    <w:p w14:paraId="6B0F443B" w14:textId="77777777" w:rsidR="00AE72F2" w:rsidRPr="003614D5" w:rsidRDefault="00AE72F2" w:rsidP="00BE1B0C">
      <w:pPr>
        <w:spacing w:line="480" w:lineRule="auto"/>
        <w:jc w:val="center"/>
        <w:rPr>
          <w:rFonts w:ascii="Times New Roman" w:hAnsi="Times New Roman" w:cs="Times New Roman"/>
          <w:sz w:val="24"/>
          <w:szCs w:val="24"/>
          <w:vertAlign w:val="superscript"/>
        </w:rPr>
      </w:pPr>
      <w:r w:rsidRPr="003614D5">
        <w:rPr>
          <w:rFonts w:ascii="Times New Roman" w:hAnsi="Times New Roman" w:cs="Times New Roman"/>
          <w:sz w:val="24"/>
          <w:szCs w:val="24"/>
        </w:rPr>
        <w:t xml:space="preserve">Tamanna Chowdhury </w:t>
      </w:r>
      <w:r w:rsidRPr="003614D5">
        <w:rPr>
          <w:rFonts w:ascii="Times New Roman" w:hAnsi="Times New Roman" w:cs="Times New Roman"/>
          <w:sz w:val="24"/>
          <w:szCs w:val="24"/>
          <w:vertAlign w:val="superscript"/>
        </w:rPr>
        <w:t>a</w:t>
      </w:r>
      <w:r w:rsidRPr="003614D5">
        <w:rPr>
          <w:rFonts w:ascii="Times New Roman" w:hAnsi="Times New Roman" w:cs="Times New Roman"/>
          <w:sz w:val="24"/>
          <w:szCs w:val="24"/>
        </w:rPr>
        <w:t xml:space="preserve">, Meng Shi </w:t>
      </w:r>
      <w:r w:rsidRPr="003614D5">
        <w:rPr>
          <w:rFonts w:ascii="Times New Roman" w:hAnsi="Times New Roman" w:cs="Times New Roman"/>
          <w:sz w:val="24"/>
          <w:szCs w:val="24"/>
          <w:vertAlign w:val="superscript"/>
        </w:rPr>
        <w:t>b</w:t>
      </w:r>
      <w:r w:rsidRPr="003614D5">
        <w:rPr>
          <w:rFonts w:ascii="Times New Roman" w:hAnsi="Times New Roman" w:cs="Times New Roman"/>
          <w:sz w:val="24"/>
          <w:szCs w:val="24"/>
        </w:rPr>
        <w:t xml:space="preserve">, Zaher Hashisho </w:t>
      </w:r>
      <w:r w:rsidRPr="003614D5">
        <w:rPr>
          <w:rFonts w:ascii="Times New Roman" w:hAnsi="Times New Roman" w:cs="Times New Roman"/>
          <w:sz w:val="24"/>
          <w:szCs w:val="24"/>
          <w:vertAlign w:val="superscript"/>
        </w:rPr>
        <w:t xml:space="preserve">a, </w:t>
      </w:r>
      <w:r w:rsidRPr="003614D5">
        <w:rPr>
          <w:rStyle w:val="FootnoteReference"/>
          <w:rFonts w:ascii="Times New Roman" w:hAnsi="Times New Roman" w:cs="Times New Roman"/>
          <w:sz w:val="24"/>
          <w:szCs w:val="24"/>
        </w:rPr>
        <w:footnoteReference w:id="1"/>
      </w:r>
      <w:r w:rsidRPr="003614D5">
        <w:rPr>
          <w:rFonts w:ascii="Times New Roman" w:hAnsi="Times New Roman" w:cs="Times New Roman"/>
          <w:sz w:val="24"/>
          <w:szCs w:val="24"/>
          <w:lang w:eastAsia="zh-CN"/>
        </w:rPr>
        <w:t xml:space="preserve">, </w:t>
      </w:r>
      <w:r w:rsidRPr="003614D5">
        <w:rPr>
          <w:rFonts w:ascii="Times New Roman" w:hAnsi="Times New Roman" w:cs="Times New Roman"/>
          <w:sz w:val="24"/>
          <w:szCs w:val="24"/>
        </w:rPr>
        <w:t xml:space="preserve">Steven M. Kuznicki </w:t>
      </w:r>
      <w:r w:rsidRPr="003614D5">
        <w:rPr>
          <w:rFonts w:ascii="Times New Roman" w:hAnsi="Times New Roman" w:cs="Times New Roman"/>
          <w:sz w:val="24"/>
          <w:szCs w:val="24"/>
          <w:vertAlign w:val="superscript"/>
        </w:rPr>
        <w:t>b</w:t>
      </w:r>
    </w:p>
    <w:p w14:paraId="43B970BD" w14:textId="77777777" w:rsidR="00AE72F2" w:rsidRPr="003614D5" w:rsidRDefault="00AE72F2" w:rsidP="00BE1B0C">
      <w:pPr>
        <w:spacing w:after="0" w:line="480" w:lineRule="auto"/>
        <w:rPr>
          <w:rFonts w:ascii="Times New Roman" w:hAnsi="Times New Roman" w:cs="Times New Roman"/>
          <w:i/>
          <w:sz w:val="24"/>
          <w:szCs w:val="24"/>
          <w:vertAlign w:val="subscript"/>
        </w:rPr>
      </w:pPr>
      <w:r w:rsidRPr="003614D5">
        <w:rPr>
          <w:rFonts w:ascii="Times New Roman" w:hAnsi="Times New Roman" w:cs="Times New Roman"/>
          <w:sz w:val="24"/>
          <w:szCs w:val="24"/>
          <w:vertAlign w:val="superscript"/>
        </w:rPr>
        <w:t>a</w:t>
      </w:r>
      <w:r w:rsidRPr="003614D5">
        <w:rPr>
          <w:rFonts w:ascii="Times New Roman" w:hAnsi="Times New Roman" w:cs="Times New Roman"/>
          <w:i/>
          <w:sz w:val="24"/>
          <w:szCs w:val="24"/>
          <w:vertAlign w:val="superscript"/>
        </w:rPr>
        <w:t xml:space="preserve"> </w:t>
      </w:r>
      <w:r w:rsidRPr="003614D5">
        <w:rPr>
          <w:rFonts w:ascii="Times New Roman" w:hAnsi="Times New Roman" w:cs="Times New Roman"/>
          <w:i/>
          <w:sz w:val="24"/>
          <w:szCs w:val="24"/>
        </w:rPr>
        <w:t>Department of Civil and Environmental Engineering, University of Alberta, Edmonton, Alberta, Canada T6G 2W2</w:t>
      </w:r>
    </w:p>
    <w:p w14:paraId="3C26CC51" w14:textId="77777777" w:rsidR="00AE72F2" w:rsidRPr="003614D5" w:rsidRDefault="00AE72F2" w:rsidP="00BE1B0C">
      <w:pPr>
        <w:spacing w:after="0" w:line="480" w:lineRule="auto"/>
        <w:rPr>
          <w:rFonts w:ascii="Times New Roman" w:hAnsi="Times New Roman" w:cs="Times New Roman"/>
          <w:sz w:val="24"/>
          <w:szCs w:val="24"/>
          <w:vertAlign w:val="subscript"/>
        </w:rPr>
      </w:pPr>
      <w:r w:rsidRPr="003614D5">
        <w:rPr>
          <w:rFonts w:ascii="Times New Roman" w:hAnsi="Times New Roman" w:cs="Times New Roman"/>
          <w:sz w:val="24"/>
          <w:szCs w:val="24"/>
          <w:vertAlign w:val="superscript"/>
        </w:rPr>
        <w:t xml:space="preserve">b </w:t>
      </w:r>
      <w:r w:rsidRPr="003614D5">
        <w:rPr>
          <w:rFonts w:ascii="Times New Roman" w:hAnsi="Times New Roman" w:cs="Times New Roman"/>
          <w:i/>
          <w:sz w:val="24"/>
          <w:szCs w:val="24"/>
        </w:rPr>
        <w:t>Department of Chemical and Materials Engineering, University of Alberta, Edmonton, Canada T6G 2V4</w:t>
      </w:r>
    </w:p>
    <w:p w14:paraId="3779081B" w14:textId="77777777" w:rsidR="003741E6" w:rsidRPr="003614D5" w:rsidRDefault="003741E6" w:rsidP="00C91305">
      <w:pPr>
        <w:spacing w:after="0" w:line="480" w:lineRule="auto"/>
        <w:rPr>
          <w:rFonts w:ascii="Times New Roman" w:hAnsi="Times New Roman" w:cs="Times New Roman"/>
          <w:color w:val="000000" w:themeColor="text1"/>
          <w:sz w:val="24"/>
          <w:szCs w:val="24"/>
        </w:rPr>
      </w:pPr>
    </w:p>
    <w:p w14:paraId="3938D4FE" w14:textId="77777777" w:rsidR="001E265E" w:rsidRPr="00F80A39" w:rsidRDefault="001E265E" w:rsidP="00BE1B0C">
      <w:pPr>
        <w:spacing w:line="480" w:lineRule="auto"/>
        <w:rPr>
          <w:rFonts w:ascii="Times New Roman" w:hAnsi="Times New Roman" w:cs="Times New Roman"/>
          <w:b/>
          <w:sz w:val="26"/>
          <w:szCs w:val="26"/>
        </w:rPr>
      </w:pPr>
      <w:bookmarkStart w:id="1" w:name="_Toc320568475"/>
      <w:r w:rsidRPr="00F80A39">
        <w:rPr>
          <w:rFonts w:ascii="Times New Roman" w:hAnsi="Times New Roman" w:cs="Times New Roman"/>
          <w:b/>
          <w:sz w:val="26"/>
          <w:szCs w:val="26"/>
        </w:rPr>
        <w:t>Abstract</w:t>
      </w:r>
    </w:p>
    <w:p w14:paraId="544FDE4D" w14:textId="05112CCE" w:rsidR="003614D5" w:rsidRPr="00F80A39" w:rsidRDefault="00A376FA" w:rsidP="00BE1B0C">
      <w:pPr>
        <w:spacing w:line="480" w:lineRule="auto"/>
        <w:jc w:val="both"/>
        <w:rPr>
          <w:rFonts w:ascii="Times New Roman" w:hAnsi="Times New Roman" w:cs="Times New Roman"/>
          <w:sz w:val="24"/>
          <w:szCs w:val="24"/>
          <w:lang w:val="en-US"/>
        </w:rPr>
      </w:pPr>
      <w:r w:rsidRPr="00F80A39">
        <w:rPr>
          <w:rFonts w:ascii="Times New Roman" w:hAnsi="Times New Roman" w:cs="Times New Roman"/>
          <w:sz w:val="24"/>
          <w:szCs w:val="24"/>
          <w:lang w:val="en-US"/>
        </w:rPr>
        <w:t>I</w:t>
      </w:r>
      <w:r w:rsidR="00A95527" w:rsidRPr="00F80A39">
        <w:rPr>
          <w:rFonts w:ascii="Times New Roman" w:hAnsi="Times New Roman" w:cs="Times New Roman"/>
          <w:sz w:val="24"/>
          <w:szCs w:val="24"/>
          <w:lang w:val="en-US"/>
        </w:rPr>
        <w:t>ndirect</w:t>
      </w:r>
      <w:r w:rsidR="001E265E" w:rsidRPr="00F80A39">
        <w:rPr>
          <w:rFonts w:ascii="Times New Roman" w:hAnsi="Times New Roman" w:cs="Times New Roman"/>
          <w:sz w:val="24"/>
          <w:szCs w:val="24"/>
          <w:lang w:val="en-US"/>
        </w:rPr>
        <w:t xml:space="preserve"> and </w:t>
      </w:r>
      <w:r w:rsidR="00E75E1C" w:rsidRPr="00F80A39">
        <w:rPr>
          <w:rFonts w:ascii="Times New Roman" w:hAnsi="Times New Roman" w:cs="Times New Roman"/>
          <w:sz w:val="24"/>
          <w:szCs w:val="24"/>
        </w:rPr>
        <w:t>direct</w:t>
      </w:r>
      <w:r w:rsidR="00E75E1C" w:rsidRPr="00F80A39">
        <w:rPr>
          <w:rFonts w:ascii="Times New Roman" w:hAnsi="Times New Roman" w:cs="Times New Roman"/>
          <w:sz w:val="24"/>
          <w:szCs w:val="24"/>
          <w:lang w:val="en-US"/>
        </w:rPr>
        <w:t xml:space="preserve"> </w:t>
      </w:r>
      <w:r w:rsidR="001E265E" w:rsidRPr="00F80A39">
        <w:rPr>
          <w:rFonts w:ascii="Times New Roman" w:hAnsi="Times New Roman" w:cs="Times New Roman"/>
          <w:sz w:val="24"/>
          <w:szCs w:val="24"/>
          <w:lang w:val="en-US"/>
        </w:rPr>
        <w:t xml:space="preserve">microwave </w:t>
      </w:r>
      <w:r w:rsidR="004903FA" w:rsidRPr="00F80A39">
        <w:rPr>
          <w:rFonts w:ascii="Times New Roman" w:hAnsi="Times New Roman" w:cs="Times New Roman"/>
          <w:sz w:val="24"/>
          <w:szCs w:val="24"/>
          <w:lang w:val="en-US"/>
        </w:rPr>
        <w:t xml:space="preserve">regeneration </w:t>
      </w:r>
      <w:r w:rsidR="001E265E" w:rsidRPr="00F80A39">
        <w:rPr>
          <w:rFonts w:ascii="Times New Roman" w:hAnsi="Times New Roman" w:cs="Times New Roman"/>
          <w:sz w:val="24"/>
          <w:szCs w:val="24"/>
          <w:lang w:val="en-US"/>
        </w:rPr>
        <w:t xml:space="preserve">were </w:t>
      </w:r>
      <w:r w:rsidR="00E75E1C" w:rsidRPr="00F80A39">
        <w:rPr>
          <w:rFonts w:ascii="Times New Roman" w:hAnsi="Times New Roman" w:cs="Times New Roman"/>
          <w:sz w:val="24"/>
          <w:szCs w:val="24"/>
          <w:lang w:val="en-US"/>
        </w:rPr>
        <w:t xml:space="preserve">assessed </w:t>
      </w:r>
      <w:r w:rsidR="001E265E" w:rsidRPr="00F80A39">
        <w:rPr>
          <w:rFonts w:ascii="Times New Roman" w:hAnsi="Times New Roman" w:cs="Times New Roman"/>
          <w:sz w:val="24"/>
          <w:szCs w:val="24"/>
          <w:lang w:val="en-US"/>
        </w:rPr>
        <w:t xml:space="preserve">as potential techniques for </w:t>
      </w:r>
      <w:r w:rsidR="004903FA" w:rsidRPr="00F80A39">
        <w:rPr>
          <w:rFonts w:ascii="Times New Roman" w:hAnsi="Times New Roman" w:cs="Times New Roman"/>
          <w:sz w:val="24"/>
          <w:szCs w:val="24"/>
          <w:lang w:val="en-US"/>
        </w:rPr>
        <w:t>desorbing a CO</w:t>
      </w:r>
      <w:r w:rsidR="004903FA" w:rsidRPr="00F80A39">
        <w:rPr>
          <w:rFonts w:ascii="Times New Roman" w:hAnsi="Times New Roman" w:cs="Times New Roman"/>
          <w:sz w:val="24"/>
          <w:szCs w:val="24"/>
          <w:vertAlign w:val="subscript"/>
          <w:lang w:val="en-US"/>
        </w:rPr>
        <w:t>2</w:t>
      </w:r>
      <w:r w:rsidR="004903FA" w:rsidRPr="00F80A39">
        <w:rPr>
          <w:rFonts w:ascii="Times New Roman" w:hAnsi="Times New Roman" w:cs="Times New Roman"/>
          <w:sz w:val="24"/>
          <w:szCs w:val="24"/>
          <w:lang w:val="en-US"/>
        </w:rPr>
        <w:t>/CH</w:t>
      </w:r>
      <w:r w:rsidR="004903FA" w:rsidRPr="00F80A39">
        <w:rPr>
          <w:rFonts w:ascii="Times New Roman" w:hAnsi="Times New Roman" w:cs="Times New Roman"/>
          <w:sz w:val="24"/>
          <w:szCs w:val="24"/>
          <w:vertAlign w:val="subscript"/>
          <w:lang w:val="en-US"/>
        </w:rPr>
        <w:t>4</w:t>
      </w:r>
      <w:r w:rsidR="004903FA" w:rsidRPr="00F80A39">
        <w:rPr>
          <w:rFonts w:ascii="Times New Roman" w:hAnsi="Times New Roman" w:cs="Times New Roman"/>
          <w:sz w:val="24"/>
          <w:szCs w:val="24"/>
          <w:lang w:val="en-US"/>
        </w:rPr>
        <w:t xml:space="preserve"> mixture from </w:t>
      </w:r>
      <w:r w:rsidR="001E265E" w:rsidRPr="00F80A39">
        <w:rPr>
          <w:rFonts w:ascii="Times New Roman" w:hAnsi="Times New Roman" w:cs="Times New Roman"/>
          <w:sz w:val="24"/>
          <w:szCs w:val="24"/>
          <w:lang w:val="en-US"/>
        </w:rPr>
        <w:t xml:space="preserve">Na-ETS-10. </w:t>
      </w:r>
      <w:r w:rsidR="00A95527" w:rsidRPr="00F80A39">
        <w:rPr>
          <w:rFonts w:ascii="Times New Roman" w:hAnsi="Times New Roman" w:cs="Times New Roman"/>
          <w:sz w:val="24"/>
          <w:szCs w:val="24"/>
          <w:lang w:val="en-US"/>
        </w:rPr>
        <w:t>Indirect microwave regeneration consist</w:t>
      </w:r>
      <w:r w:rsidR="001B332C" w:rsidRPr="00F80A39">
        <w:rPr>
          <w:rFonts w:ascii="Times New Roman" w:hAnsi="Times New Roman" w:cs="Times New Roman"/>
          <w:sz w:val="24"/>
          <w:szCs w:val="24"/>
          <w:lang w:val="en-US"/>
        </w:rPr>
        <w:t>s</w:t>
      </w:r>
      <w:r w:rsidR="00A95527" w:rsidRPr="00F80A39">
        <w:rPr>
          <w:rFonts w:ascii="Times New Roman" w:hAnsi="Times New Roman" w:cs="Times New Roman"/>
          <w:sz w:val="24"/>
          <w:szCs w:val="24"/>
          <w:lang w:val="en-US"/>
        </w:rPr>
        <w:t xml:space="preserve"> of desorption with water followed by microwave drying</w:t>
      </w:r>
      <w:r w:rsidRPr="00F80A39">
        <w:rPr>
          <w:rFonts w:ascii="Times New Roman" w:hAnsi="Times New Roman" w:cs="Times New Roman"/>
          <w:sz w:val="24"/>
          <w:szCs w:val="24"/>
          <w:lang w:val="en-US"/>
        </w:rPr>
        <w:t>,</w:t>
      </w:r>
      <w:r w:rsidR="00A95527" w:rsidRPr="00F80A39">
        <w:rPr>
          <w:rFonts w:ascii="Times New Roman" w:hAnsi="Times New Roman" w:cs="Times New Roman"/>
          <w:sz w:val="24"/>
          <w:szCs w:val="24"/>
          <w:lang w:val="en-US"/>
        </w:rPr>
        <w:t xml:space="preserve"> while direct </w:t>
      </w:r>
      <w:r w:rsidR="001B332C" w:rsidRPr="00F80A39">
        <w:rPr>
          <w:rFonts w:ascii="Times New Roman" w:hAnsi="Times New Roman" w:cs="Times New Roman"/>
          <w:sz w:val="24"/>
          <w:szCs w:val="24"/>
          <w:lang w:val="en-US"/>
        </w:rPr>
        <w:t>microwave regeneration consists</w:t>
      </w:r>
      <w:r w:rsidR="00A95527" w:rsidRPr="00F80A39">
        <w:rPr>
          <w:rFonts w:ascii="Times New Roman" w:hAnsi="Times New Roman" w:cs="Times New Roman"/>
          <w:sz w:val="24"/>
          <w:szCs w:val="24"/>
          <w:lang w:val="en-US"/>
        </w:rPr>
        <w:t xml:space="preserve"> of constant power microwave heating. </w:t>
      </w:r>
      <w:r w:rsidR="007C32AC" w:rsidRPr="00F80A39">
        <w:rPr>
          <w:rFonts w:ascii="Times New Roman" w:hAnsi="Times New Roman" w:cs="Times New Roman"/>
          <w:sz w:val="24"/>
          <w:szCs w:val="24"/>
          <w:lang w:val="en-US"/>
        </w:rPr>
        <w:t>F</w:t>
      </w:r>
      <w:r w:rsidR="001E265E" w:rsidRPr="00F80A39">
        <w:rPr>
          <w:rFonts w:ascii="Times New Roman" w:hAnsi="Times New Roman" w:cs="Times New Roman"/>
          <w:sz w:val="24"/>
          <w:szCs w:val="24"/>
          <w:lang w:val="en-US"/>
        </w:rPr>
        <w:t xml:space="preserve">ive adsorption-desorption </w:t>
      </w:r>
      <w:r w:rsidR="007C32AC" w:rsidRPr="00F80A39">
        <w:rPr>
          <w:rFonts w:ascii="Times New Roman" w:hAnsi="Times New Roman" w:cs="Times New Roman"/>
          <w:sz w:val="24"/>
          <w:szCs w:val="24"/>
          <w:lang w:val="en-US"/>
        </w:rPr>
        <w:t>cycles were completed</w:t>
      </w:r>
      <w:r w:rsidR="001E265E" w:rsidRPr="00F80A39">
        <w:rPr>
          <w:rFonts w:ascii="Times New Roman" w:hAnsi="Times New Roman" w:cs="Times New Roman"/>
          <w:sz w:val="24"/>
          <w:szCs w:val="24"/>
          <w:lang w:val="en-US"/>
        </w:rPr>
        <w:t xml:space="preserve"> to determine and compare the swing capacity, net energy consumption, and gas recovery </w:t>
      </w:r>
      <w:r w:rsidR="007C32AC" w:rsidRPr="00F80A39">
        <w:rPr>
          <w:rFonts w:ascii="Times New Roman" w:hAnsi="Times New Roman" w:cs="Times New Roman"/>
          <w:sz w:val="24"/>
          <w:szCs w:val="24"/>
          <w:lang w:val="en-US"/>
        </w:rPr>
        <w:t>obtained with</w:t>
      </w:r>
      <w:r w:rsidR="001E265E" w:rsidRPr="00F80A39">
        <w:rPr>
          <w:rFonts w:ascii="Times New Roman" w:hAnsi="Times New Roman" w:cs="Times New Roman"/>
          <w:sz w:val="24"/>
          <w:szCs w:val="24"/>
          <w:lang w:val="en-US"/>
        </w:rPr>
        <w:t xml:space="preserve"> these two regeneration techniques</w:t>
      </w:r>
      <w:r w:rsidR="00C91305" w:rsidRPr="00F80A39">
        <w:rPr>
          <w:rFonts w:ascii="Times New Roman" w:hAnsi="Times New Roman" w:cs="Times New Roman"/>
          <w:sz w:val="24"/>
          <w:szCs w:val="24"/>
          <w:lang w:val="en-US"/>
        </w:rPr>
        <w:t xml:space="preserve">. </w:t>
      </w:r>
      <w:r w:rsidR="00F57A4E" w:rsidRPr="00F80A39">
        <w:rPr>
          <w:rFonts w:ascii="Times New Roman" w:hAnsi="Times New Roman" w:cs="Times New Roman"/>
          <w:sz w:val="24"/>
          <w:szCs w:val="24"/>
          <w:lang w:val="en-US"/>
        </w:rPr>
        <w:t>During indirect microwave regeneration</w:t>
      </w:r>
      <w:r w:rsidR="00F57A4E" w:rsidRPr="00F80A39" w:rsidDel="00E76D40">
        <w:rPr>
          <w:rFonts w:ascii="Times New Roman" w:hAnsi="Times New Roman" w:cs="Times New Roman"/>
          <w:sz w:val="24"/>
          <w:szCs w:val="24"/>
          <w:lang w:val="en-US"/>
        </w:rPr>
        <w:t xml:space="preserve"> </w:t>
      </w:r>
      <w:r w:rsidR="00F57A4E" w:rsidRPr="00F80A39">
        <w:rPr>
          <w:rFonts w:ascii="Times New Roman" w:hAnsi="Times New Roman" w:cs="Times New Roman"/>
          <w:sz w:val="24"/>
          <w:szCs w:val="24"/>
          <w:lang w:val="en-US"/>
        </w:rPr>
        <w:t>t</w:t>
      </w:r>
      <w:r w:rsidR="001E265E" w:rsidRPr="00F80A39">
        <w:rPr>
          <w:rFonts w:ascii="Times New Roman" w:hAnsi="Times New Roman" w:cs="Times New Roman"/>
          <w:sz w:val="24"/>
          <w:szCs w:val="24"/>
          <w:lang w:val="en-US"/>
        </w:rPr>
        <w:t xml:space="preserve">he swing capacity of Na-ETS-10 was stable at </w:t>
      </w:r>
      <w:r w:rsidR="001E265E" w:rsidRPr="00F80A39">
        <w:rPr>
          <w:rFonts w:ascii="Times New Roman" w:hAnsi="Times New Roman" w:cs="Times New Roman"/>
          <w:sz w:val="24"/>
          <w:szCs w:val="24"/>
        </w:rPr>
        <w:t>0.</w:t>
      </w:r>
      <w:r w:rsidR="00DD54FE" w:rsidRPr="00F80A39">
        <w:rPr>
          <w:rFonts w:ascii="Times New Roman" w:hAnsi="Times New Roman" w:cs="Times New Roman"/>
          <w:sz w:val="24"/>
          <w:szCs w:val="24"/>
        </w:rPr>
        <w:t>3</w:t>
      </w:r>
      <w:r w:rsidR="001E265E" w:rsidRPr="00F80A39">
        <w:rPr>
          <w:rFonts w:ascii="Times New Roman" w:hAnsi="Times New Roman" w:cs="Times New Roman"/>
          <w:sz w:val="24"/>
          <w:szCs w:val="24"/>
        </w:rPr>
        <w:t xml:space="preserve"> mmol/g</w:t>
      </w:r>
      <w:r w:rsidR="00F57A4E" w:rsidRPr="00F80A39">
        <w:rPr>
          <w:rFonts w:ascii="Times New Roman" w:hAnsi="Times New Roman" w:cs="Times New Roman"/>
          <w:sz w:val="24"/>
          <w:szCs w:val="24"/>
        </w:rPr>
        <w:t>,</w:t>
      </w:r>
      <w:r w:rsidR="00E76D40" w:rsidRPr="00F80A39">
        <w:rPr>
          <w:rFonts w:ascii="Times New Roman" w:hAnsi="Times New Roman" w:cs="Times New Roman"/>
          <w:sz w:val="24"/>
          <w:szCs w:val="24"/>
          <w:lang w:val="en-US"/>
        </w:rPr>
        <w:t xml:space="preserve"> with the exception of </w:t>
      </w:r>
      <w:r w:rsidR="00F57A4E" w:rsidRPr="00F80A39">
        <w:rPr>
          <w:rFonts w:ascii="Times New Roman" w:hAnsi="Times New Roman" w:cs="Times New Roman"/>
          <w:sz w:val="24"/>
          <w:szCs w:val="24"/>
          <w:lang w:val="en-US"/>
        </w:rPr>
        <w:t xml:space="preserve">the first cycle where it reached </w:t>
      </w:r>
      <w:r w:rsidR="001E265E" w:rsidRPr="00F80A39">
        <w:rPr>
          <w:rFonts w:ascii="Times New Roman" w:hAnsi="Times New Roman" w:cs="Times New Roman"/>
          <w:sz w:val="24"/>
          <w:szCs w:val="24"/>
        </w:rPr>
        <w:t>1.</w:t>
      </w:r>
      <w:r w:rsidR="00DD54FE" w:rsidRPr="00F80A39">
        <w:rPr>
          <w:rFonts w:ascii="Times New Roman" w:hAnsi="Times New Roman" w:cs="Times New Roman"/>
          <w:sz w:val="24"/>
          <w:szCs w:val="24"/>
        </w:rPr>
        <w:t xml:space="preserve">6 </w:t>
      </w:r>
      <w:r w:rsidR="001E265E" w:rsidRPr="00F80A39">
        <w:rPr>
          <w:rFonts w:ascii="Times New Roman" w:hAnsi="Times New Roman" w:cs="Times New Roman"/>
          <w:sz w:val="24"/>
          <w:szCs w:val="24"/>
        </w:rPr>
        <w:t>mmol/g</w:t>
      </w:r>
      <w:r w:rsidR="00F57A4E" w:rsidRPr="00F80A39">
        <w:rPr>
          <w:rFonts w:ascii="Times New Roman" w:hAnsi="Times New Roman" w:cs="Times New Roman"/>
          <w:sz w:val="24"/>
          <w:szCs w:val="24"/>
        </w:rPr>
        <w:t>.</w:t>
      </w:r>
      <w:r w:rsidR="0021792C" w:rsidRPr="00F80A39">
        <w:rPr>
          <w:rFonts w:ascii="Times New Roman" w:hAnsi="Times New Roman" w:cs="Times New Roman"/>
          <w:sz w:val="24"/>
          <w:szCs w:val="24"/>
        </w:rPr>
        <w:t xml:space="preserve"> </w:t>
      </w:r>
      <w:r w:rsidR="00F57A4E" w:rsidRPr="00F80A39">
        <w:rPr>
          <w:rFonts w:ascii="Times New Roman" w:hAnsi="Times New Roman" w:cs="Times New Roman"/>
          <w:sz w:val="24"/>
          <w:szCs w:val="24"/>
        </w:rPr>
        <w:t>The first cycle swing capacity decreased however,</w:t>
      </w:r>
      <w:r w:rsidR="0021792C" w:rsidRPr="00F80A39">
        <w:rPr>
          <w:rFonts w:ascii="Times New Roman" w:hAnsi="Times New Roman" w:cs="Times New Roman"/>
          <w:sz w:val="24"/>
          <w:szCs w:val="24"/>
        </w:rPr>
        <w:t xml:space="preserve"> </w:t>
      </w:r>
      <w:r w:rsidR="00F57A4E" w:rsidRPr="00F80A39">
        <w:rPr>
          <w:rFonts w:ascii="Times New Roman" w:hAnsi="Times New Roman" w:cs="Times New Roman"/>
          <w:sz w:val="24"/>
          <w:szCs w:val="24"/>
        </w:rPr>
        <w:t xml:space="preserve">by </w:t>
      </w:r>
      <w:r w:rsidR="0021792C" w:rsidRPr="00F80A39">
        <w:rPr>
          <w:rFonts w:ascii="Times New Roman" w:hAnsi="Times New Roman" w:cs="Times New Roman"/>
          <w:sz w:val="24"/>
          <w:szCs w:val="24"/>
        </w:rPr>
        <w:t xml:space="preserve">five fold during the </w:t>
      </w:r>
      <w:r w:rsidR="0037572D" w:rsidRPr="00F80A39">
        <w:rPr>
          <w:rFonts w:ascii="Times New Roman" w:hAnsi="Times New Roman" w:cs="Times New Roman"/>
          <w:sz w:val="24"/>
          <w:szCs w:val="24"/>
        </w:rPr>
        <w:t xml:space="preserve">subsequent </w:t>
      </w:r>
      <w:r w:rsidR="0021792C" w:rsidRPr="00F80A39">
        <w:rPr>
          <w:rFonts w:ascii="Times New Roman" w:hAnsi="Times New Roman" w:cs="Times New Roman"/>
          <w:sz w:val="24"/>
          <w:szCs w:val="24"/>
        </w:rPr>
        <w:t xml:space="preserve">desorption cycles. </w:t>
      </w:r>
      <w:r w:rsidR="0037572D" w:rsidRPr="00F80A39">
        <w:rPr>
          <w:rFonts w:ascii="Times New Roman" w:hAnsi="Times New Roman" w:cs="Times New Roman"/>
          <w:sz w:val="24"/>
          <w:szCs w:val="24"/>
        </w:rPr>
        <w:t>During</w:t>
      </w:r>
      <w:r w:rsidR="001E265E" w:rsidRPr="00F80A39">
        <w:rPr>
          <w:rFonts w:ascii="Times New Roman" w:hAnsi="Times New Roman" w:cs="Times New Roman"/>
          <w:sz w:val="24"/>
          <w:szCs w:val="24"/>
        </w:rPr>
        <w:t xml:space="preserve"> </w:t>
      </w:r>
      <w:r w:rsidR="004903FA" w:rsidRPr="00F80A39">
        <w:rPr>
          <w:rFonts w:ascii="Times New Roman" w:hAnsi="Times New Roman" w:cs="Times New Roman"/>
          <w:sz w:val="24"/>
          <w:szCs w:val="24"/>
        </w:rPr>
        <w:t>direct</w:t>
      </w:r>
      <w:r w:rsidR="001E265E" w:rsidRPr="00F80A39">
        <w:rPr>
          <w:rFonts w:ascii="Times New Roman" w:hAnsi="Times New Roman" w:cs="Times New Roman"/>
          <w:sz w:val="24"/>
          <w:szCs w:val="24"/>
        </w:rPr>
        <w:t xml:space="preserve"> microwave </w:t>
      </w:r>
      <w:r w:rsidR="004903FA" w:rsidRPr="00F80A39">
        <w:rPr>
          <w:rFonts w:ascii="Times New Roman" w:hAnsi="Times New Roman" w:cs="Times New Roman"/>
          <w:sz w:val="24"/>
          <w:szCs w:val="24"/>
          <w:lang w:val="en-US"/>
        </w:rPr>
        <w:t>regeneration</w:t>
      </w:r>
      <w:r w:rsidR="001E265E" w:rsidRPr="00F80A39">
        <w:rPr>
          <w:rFonts w:ascii="Times New Roman" w:hAnsi="Times New Roman" w:cs="Times New Roman"/>
          <w:sz w:val="24"/>
          <w:szCs w:val="24"/>
        </w:rPr>
        <w:t>, the swing capacity remained stable at 0.7</w:t>
      </w:r>
      <w:r w:rsidR="008C11A8" w:rsidRPr="00F80A39">
        <w:rPr>
          <w:rFonts w:ascii="Times New Roman" w:hAnsi="Times New Roman" w:cs="Times New Roman"/>
          <w:sz w:val="24"/>
          <w:szCs w:val="24"/>
        </w:rPr>
        <w:t xml:space="preserve"> </w:t>
      </w:r>
      <w:r w:rsidR="001E265E" w:rsidRPr="00F80A39">
        <w:rPr>
          <w:rFonts w:ascii="Times New Roman" w:hAnsi="Times New Roman" w:cs="Times New Roman"/>
          <w:sz w:val="24"/>
          <w:szCs w:val="24"/>
        </w:rPr>
        <w:t>mmol/g</w:t>
      </w:r>
      <w:r w:rsidR="00584255" w:rsidRPr="00F80A39">
        <w:rPr>
          <w:rFonts w:ascii="Times New Roman" w:hAnsi="Times New Roman" w:cs="Times New Roman"/>
          <w:sz w:val="24"/>
          <w:szCs w:val="24"/>
        </w:rPr>
        <w:t xml:space="preserve"> </w:t>
      </w:r>
      <w:r w:rsidR="001E265E" w:rsidRPr="00F80A39">
        <w:rPr>
          <w:rFonts w:ascii="Times New Roman" w:hAnsi="Times New Roman" w:cs="Times New Roman"/>
          <w:sz w:val="24"/>
          <w:szCs w:val="24"/>
        </w:rPr>
        <w:t xml:space="preserve">over </w:t>
      </w:r>
      <w:r w:rsidR="00F57A4E" w:rsidRPr="00F80A39">
        <w:rPr>
          <w:rFonts w:ascii="Times New Roman" w:hAnsi="Times New Roman" w:cs="Times New Roman"/>
          <w:sz w:val="24"/>
          <w:szCs w:val="24"/>
        </w:rPr>
        <w:t>all</w:t>
      </w:r>
      <w:r w:rsidR="00DB590E" w:rsidRPr="00F80A39">
        <w:rPr>
          <w:rFonts w:ascii="Times New Roman" w:hAnsi="Times New Roman" w:cs="Times New Roman"/>
          <w:sz w:val="24"/>
          <w:szCs w:val="24"/>
        </w:rPr>
        <w:t xml:space="preserve"> </w:t>
      </w:r>
      <w:r w:rsidR="001E265E" w:rsidRPr="00F80A39">
        <w:rPr>
          <w:rFonts w:ascii="Times New Roman" w:hAnsi="Times New Roman" w:cs="Times New Roman"/>
          <w:sz w:val="24"/>
          <w:szCs w:val="24"/>
        </w:rPr>
        <w:t xml:space="preserve">five </w:t>
      </w:r>
      <w:r w:rsidR="007C32AC" w:rsidRPr="00F80A39">
        <w:rPr>
          <w:rFonts w:ascii="Times New Roman" w:hAnsi="Times New Roman" w:cs="Times New Roman"/>
          <w:sz w:val="24"/>
          <w:szCs w:val="24"/>
        </w:rPr>
        <w:t xml:space="preserve">consecutive </w:t>
      </w:r>
      <w:r w:rsidR="001E265E" w:rsidRPr="00F80A39">
        <w:rPr>
          <w:rFonts w:ascii="Times New Roman" w:hAnsi="Times New Roman" w:cs="Times New Roman"/>
          <w:sz w:val="24"/>
          <w:szCs w:val="24"/>
        </w:rPr>
        <w:t>cycles. On average, 2</w:t>
      </w:r>
      <w:r w:rsidR="00DE455B" w:rsidRPr="00F80A39">
        <w:rPr>
          <w:rFonts w:ascii="Times New Roman" w:hAnsi="Times New Roman" w:cs="Times New Roman"/>
          <w:sz w:val="24"/>
          <w:szCs w:val="24"/>
        </w:rPr>
        <w:t>.</w:t>
      </w:r>
      <w:r w:rsidR="001E265E" w:rsidRPr="00F80A39">
        <w:rPr>
          <w:rFonts w:ascii="Times New Roman" w:hAnsi="Times New Roman" w:cs="Times New Roman"/>
          <w:sz w:val="24"/>
          <w:szCs w:val="24"/>
        </w:rPr>
        <w:t>46</w:t>
      </w:r>
      <w:r w:rsidR="008C11A8" w:rsidRPr="00F80A39">
        <w:rPr>
          <w:rFonts w:ascii="Times New Roman" w:hAnsi="Times New Roman" w:cs="Times New Roman"/>
          <w:sz w:val="24"/>
          <w:szCs w:val="24"/>
        </w:rPr>
        <w:t xml:space="preserve"> </w:t>
      </w:r>
      <w:r w:rsidR="00DE455B" w:rsidRPr="00F80A39">
        <w:rPr>
          <w:rFonts w:ascii="Times New Roman" w:hAnsi="Times New Roman" w:cs="Times New Roman"/>
          <w:sz w:val="24"/>
          <w:szCs w:val="24"/>
        </w:rPr>
        <w:t>K</w:t>
      </w:r>
      <w:r w:rsidR="001E265E" w:rsidRPr="00F80A39">
        <w:rPr>
          <w:rFonts w:ascii="Times New Roman" w:hAnsi="Times New Roman" w:cs="Times New Roman"/>
          <w:sz w:val="24"/>
          <w:szCs w:val="24"/>
        </w:rPr>
        <w:t>J</w:t>
      </w:r>
      <w:r w:rsidR="00584255" w:rsidRPr="00F80A39">
        <w:rPr>
          <w:rFonts w:ascii="Times New Roman" w:hAnsi="Times New Roman" w:cs="Times New Roman"/>
          <w:sz w:val="24"/>
          <w:szCs w:val="24"/>
        </w:rPr>
        <w:t xml:space="preserve"> and </w:t>
      </w:r>
      <w:r w:rsidR="00DE455B" w:rsidRPr="00F80A39">
        <w:rPr>
          <w:rFonts w:ascii="Times New Roman" w:hAnsi="Times New Roman" w:cs="Times New Roman"/>
          <w:sz w:val="24"/>
          <w:szCs w:val="24"/>
        </w:rPr>
        <w:t>0.</w:t>
      </w:r>
      <w:r w:rsidR="001E265E" w:rsidRPr="00F80A39">
        <w:rPr>
          <w:rFonts w:ascii="Times New Roman" w:hAnsi="Times New Roman" w:cs="Times New Roman"/>
          <w:sz w:val="24"/>
          <w:szCs w:val="24"/>
        </w:rPr>
        <w:t>32</w:t>
      </w:r>
      <w:r w:rsidR="008C11A8" w:rsidRPr="00F80A39">
        <w:rPr>
          <w:rFonts w:ascii="Times New Roman" w:hAnsi="Times New Roman" w:cs="Times New Roman"/>
          <w:sz w:val="24"/>
          <w:szCs w:val="24"/>
        </w:rPr>
        <w:t xml:space="preserve"> </w:t>
      </w:r>
      <w:r w:rsidR="00DE455B" w:rsidRPr="00F80A39">
        <w:rPr>
          <w:rFonts w:ascii="Times New Roman" w:hAnsi="Times New Roman" w:cs="Times New Roman"/>
          <w:sz w:val="24"/>
          <w:szCs w:val="24"/>
        </w:rPr>
        <w:t>K</w:t>
      </w:r>
      <w:r w:rsidR="001E265E" w:rsidRPr="00F80A39">
        <w:rPr>
          <w:rFonts w:ascii="Times New Roman" w:hAnsi="Times New Roman" w:cs="Times New Roman"/>
          <w:sz w:val="24"/>
          <w:szCs w:val="24"/>
        </w:rPr>
        <w:t xml:space="preserve">J were consumed </w:t>
      </w:r>
      <w:r w:rsidR="00ED01A1" w:rsidRPr="00F80A39">
        <w:rPr>
          <w:rFonts w:ascii="Times New Roman" w:hAnsi="Times New Roman" w:cs="Times New Roman"/>
          <w:sz w:val="24"/>
          <w:szCs w:val="24"/>
        </w:rPr>
        <w:t xml:space="preserve">during regeneration of one </w:t>
      </w:r>
      <w:r w:rsidR="007C32AC" w:rsidRPr="00F80A39">
        <w:rPr>
          <w:rFonts w:ascii="Times New Roman" w:hAnsi="Times New Roman" w:cs="Times New Roman"/>
          <w:sz w:val="24"/>
          <w:szCs w:val="24"/>
        </w:rPr>
        <w:t xml:space="preserve">gram of </w:t>
      </w:r>
      <w:r w:rsidR="001E265E" w:rsidRPr="00F80A39">
        <w:rPr>
          <w:rFonts w:ascii="Times New Roman" w:hAnsi="Times New Roman" w:cs="Times New Roman"/>
          <w:sz w:val="24"/>
          <w:szCs w:val="24"/>
        </w:rPr>
        <w:t xml:space="preserve">Na-ETS-10 </w:t>
      </w:r>
      <w:r w:rsidR="00352532" w:rsidRPr="00F80A39">
        <w:rPr>
          <w:rFonts w:ascii="Times New Roman" w:hAnsi="Times New Roman" w:cs="Times New Roman"/>
          <w:sz w:val="24"/>
          <w:szCs w:val="24"/>
        </w:rPr>
        <w:t>using</w:t>
      </w:r>
      <w:r w:rsidR="001E265E" w:rsidRPr="00F80A39">
        <w:rPr>
          <w:rFonts w:ascii="Times New Roman" w:hAnsi="Times New Roman" w:cs="Times New Roman"/>
          <w:sz w:val="24"/>
          <w:szCs w:val="24"/>
        </w:rPr>
        <w:t xml:space="preserve"> </w:t>
      </w:r>
      <w:r w:rsidR="00584255" w:rsidRPr="00F80A39">
        <w:rPr>
          <w:rFonts w:ascii="Times New Roman" w:hAnsi="Times New Roman" w:cs="Times New Roman"/>
          <w:sz w:val="24"/>
          <w:szCs w:val="24"/>
        </w:rPr>
        <w:t xml:space="preserve">indirect and direct </w:t>
      </w:r>
      <w:r w:rsidR="007C32AC" w:rsidRPr="00F80A39">
        <w:rPr>
          <w:rFonts w:ascii="Times New Roman" w:hAnsi="Times New Roman" w:cs="Times New Roman"/>
          <w:sz w:val="24"/>
          <w:szCs w:val="24"/>
          <w:lang w:val="en-US"/>
        </w:rPr>
        <w:t xml:space="preserve">microwave </w:t>
      </w:r>
      <w:r w:rsidR="00584255" w:rsidRPr="00F80A39">
        <w:rPr>
          <w:rFonts w:ascii="Times New Roman" w:hAnsi="Times New Roman" w:cs="Times New Roman"/>
          <w:sz w:val="24"/>
          <w:szCs w:val="24"/>
          <w:lang w:val="en-US"/>
        </w:rPr>
        <w:t>regeneration</w:t>
      </w:r>
      <w:r w:rsidR="001E265E" w:rsidRPr="00F80A39">
        <w:rPr>
          <w:rFonts w:ascii="Times New Roman" w:hAnsi="Times New Roman" w:cs="Times New Roman"/>
          <w:sz w:val="24"/>
          <w:szCs w:val="24"/>
        </w:rPr>
        <w:t xml:space="preserve">, respectively. </w:t>
      </w:r>
      <w:r w:rsidR="00036225" w:rsidRPr="00F80A39">
        <w:rPr>
          <w:rFonts w:ascii="Times New Roman" w:hAnsi="Times New Roman" w:cs="Times New Roman"/>
          <w:sz w:val="24"/>
          <w:szCs w:val="24"/>
        </w:rPr>
        <w:t xml:space="preserve">With the </w:t>
      </w:r>
      <w:r w:rsidR="00036225" w:rsidRPr="00F80A39">
        <w:rPr>
          <w:rFonts w:ascii="Times New Roman" w:hAnsi="Times New Roman" w:cs="Times New Roman"/>
          <w:sz w:val="24"/>
          <w:szCs w:val="24"/>
          <w:lang w:val="en-US"/>
        </w:rPr>
        <w:t>e</w:t>
      </w:r>
      <w:r w:rsidR="001E265E" w:rsidRPr="00F80A39">
        <w:rPr>
          <w:rFonts w:ascii="Times New Roman" w:hAnsi="Times New Roman" w:cs="Times New Roman"/>
          <w:sz w:val="24"/>
          <w:szCs w:val="24"/>
          <w:lang w:val="en-US"/>
        </w:rPr>
        <w:t>xcept</w:t>
      </w:r>
      <w:r w:rsidR="00036225" w:rsidRPr="00F80A39">
        <w:rPr>
          <w:rFonts w:ascii="Times New Roman" w:hAnsi="Times New Roman" w:cs="Times New Roman"/>
          <w:sz w:val="24"/>
          <w:szCs w:val="24"/>
          <w:lang w:val="en-US"/>
        </w:rPr>
        <w:t xml:space="preserve">ion of </w:t>
      </w:r>
      <w:r w:rsidR="001E265E" w:rsidRPr="00F80A39">
        <w:rPr>
          <w:rFonts w:ascii="Times New Roman" w:hAnsi="Times New Roman" w:cs="Times New Roman"/>
          <w:sz w:val="24"/>
          <w:szCs w:val="24"/>
          <w:lang w:val="en-US"/>
        </w:rPr>
        <w:t xml:space="preserve">the first cycle, </w:t>
      </w:r>
      <w:r w:rsidR="00176174" w:rsidRPr="00F80A39">
        <w:rPr>
          <w:rFonts w:ascii="Times New Roman" w:hAnsi="Times New Roman" w:cs="Times New Roman"/>
          <w:sz w:val="24"/>
          <w:szCs w:val="24"/>
          <w:lang w:val="en-US"/>
        </w:rPr>
        <w:t>gas recovery for</w:t>
      </w:r>
      <w:r w:rsidR="001E265E" w:rsidRPr="00F80A39">
        <w:rPr>
          <w:rFonts w:ascii="Times New Roman" w:hAnsi="Times New Roman" w:cs="Times New Roman"/>
          <w:sz w:val="24"/>
          <w:szCs w:val="24"/>
          <w:lang w:val="en-US"/>
        </w:rPr>
        <w:t xml:space="preserve"> </w:t>
      </w:r>
      <w:r w:rsidR="00584255" w:rsidRPr="00F80A39">
        <w:rPr>
          <w:rFonts w:ascii="Times New Roman" w:hAnsi="Times New Roman" w:cs="Times New Roman"/>
          <w:sz w:val="24"/>
          <w:szCs w:val="24"/>
          <w:lang w:val="en-US"/>
        </w:rPr>
        <w:t xml:space="preserve">indirect microwave </w:t>
      </w:r>
      <w:r w:rsidR="00584255" w:rsidRPr="00F80A39">
        <w:rPr>
          <w:rFonts w:ascii="Times New Roman" w:hAnsi="Times New Roman" w:cs="Times New Roman"/>
          <w:sz w:val="24"/>
          <w:szCs w:val="24"/>
          <w:lang w:val="en-US"/>
        </w:rPr>
        <w:lastRenderedPageBreak/>
        <w:t xml:space="preserve">regeneration </w:t>
      </w:r>
      <w:r w:rsidR="00036225" w:rsidRPr="00F80A39">
        <w:rPr>
          <w:rFonts w:ascii="Times New Roman" w:hAnsi="Times New Roman" w:cs="Times New Roman"/>
          <w:sz w:val="24"/>
          <w:szCs w:val="24"/>
          <w:lang w:val="en-US"/>
        </w:rPr>
        <w:t xml:space="preserve">was only 20%. </w:t>
      </w:r>
      <w:r w:rsidR="001E265E" w:rsidRPr="00F80A39">
        <w:rPr>
          <w:rFonts w:ascii="Times New Roman" w:hAnsi="Times New Roman" w:cs="Times New Roman"/>
          <w:sz w:val="24"/>
          <w:szCs w:val="24"/>
          <w:lang w:val="en-US"/>
        </w:rPr>
        <w:t xml:space="preserve">In contrast, </w:t>
      </w:r>
      <w:r w:rsidR="007C32AC" w:rsidRPr="00F80A39">
        <w:rPr>
          <w:rFonts w:ascii="Times New Roman" w:hAnsi="Times New Roman" w:cs="Times New Roman"/>
          <w:sz w:val="24"/>
          <w:szCs w:val="24"/>
          <w:lang w:val="en-US"/>
        </w:rPr>
        <w:t xml:space="preserve">an average of </w:t>
      </w:r>
      <w:r w:rsidR="001E265E" w:rsidRPr="00F80A39">
        <w:rPr>
          <w:rFonts w:ascii="Times New Roman" w:hAnsi="Times New Roman" w:cs="Times New Roman"/>
          <w:sz w:val="24"/>
          <w:szCs w:val="24"/>
          <w:lang w:val="en-US"/>
        </w:rPr>
        <w:t xml:space="preserve">50% gas recovery was achieved by </w:t>
      </w:r>
      <w:r w:rsidR="00584255" w:rsidRPr="00F80A39">
        <w:rPr>
          <w:rFonts w:ascii="Times New Roman" w:hAnsi="Times New Roman" w:cs="Times New Roman"/>
          <w:sz w:val="24"/>
          <w:szCs w:val="24"/>
          <w:lang w:val="en-US"/>
        </w:rPr>
        <w:t>direct</w:t>
      </w:r>
      <w:r w:rsidR="001E265E" w:rsidRPr="00F80A39">
        <w:rPr>
          <w:rFonts w:ascii="Times New Roman" w:hAnsi="Times New Roman" w:cs="Times New Roman"/>
          <w:sz w:val="24"/>
          <w:szCs w:val="24"/>
          <w:lang w:val="en-US"/>
        </w:rPr>
        <w:t xml:space="preserve"> microwave </w:t>
      </w:r>
      <w:r w:rsidR="007C32AC" w:rsidRPr="00F80A39">
        <w:rPr>
          <w:rFonts w:ascii="Times New Roman" w:hAnsi="Times New Roman" w:cs="Times New Roman"/>
          <w:sz w:val="24"/>
          <w:szCs w:val="24"/>
        </w:rPr>
        <w:t>regeneration</w:t>
      </w:r>
      <w:r w:rsidR="001E265E" w:rsidRPr="00F80A39">
        <w:rPr>
          <w:rFonts w:ascii="Times New Roman" w:hAnsi="Times New Roman" w:cs="Times New Roman"/>
          <w:sz w:val="24"/>
          <w:szCs w:val="24"/>
          <w:lang w:val="en-US"/>
        </w:rPr>
        <w:t>.</w:t>
      </w:r>
      <w:r w:rsidR="00B13051" w:rsidRPr="00F80A39">
        <w:rPr>
          <w:rFonts w:ascii="Times New Roman" w:hAnsi="Times New Roman" w:cs="Times New Roman"/>
          <w:sz w:val="24"/>
          <w:szCs w:val="24"/>
          <w:lang w:val="en-US"/>
        </w:rPr>
        <w:t xml:space="preserve"> </w:t>
      </w:r>
    </w:p>
    <w:p w14:paraId="17101B7F" w14:textId="77777777" w:rsidR="003614D5" w:rsidRPr="00F80A39" w:rsidRDefault="003614D5" w:rsidP="00BE1B0C">
      <w:pPr>
        <w:spacing w:line="480" w:lineRule="auto"/>
        <w:jc w:val="both"/>
        <w:rPr>
          <w:rFonts w:ascii="Times New Roman" w:hAnsi="Times New Roman" w:cs="Times New Roman"/>
          <w:sz w:val="24"/>
          <w:szCs w:val="24"/>
          <w:lang w:val="en-US"/>
        </w:rPr>
      </w:pPr>
    </w:p>
    <w:p w14:paraId="5FFBA3B6" w14:textId="77777777" w:rsidR="003614D5" w:rsidRPr="003614D5" w:rsidRDefault="003614D5" w:rsidP="00BE1B0C">
      <w:pPr>
        <w:spacing w:line="480" w:lineRule="auto"/>
        <w:jc w:val="both"/>
        <w:rPr>
          <w:rFonts w:ascii="Times New Roman" w:hAnsi="Times New Roman" w:cs="Times New Roman"/>
          <w:b/>
          <w:sz w:val="24"/>
          <w:szCs w:val="24"/>
          <w:lang w:val="en-US"/>
        </w:rPr>
      </w:pPr>
      <w:r w:rsidRPr="00F80A39">
        <w:rPr>
          <w:rFonts w:ascii="Times New Roman" w:hAnsi="Times New Roman" w:cs="Times New Roman"/>
          <w:b/>
          <w:sz w:val="24"/>
          <w:szCs w:val="24"/>
          <w:lang w:val="en-US"/>
        </w:rPr>
        <w:t xml:space="preserve">Keywords: </w:t>
      </w:r>
      <w:r w:rsidRPr="00F80A39">
        <w:rPr>
          <w:rFonts w:ascii="Times New Roman" w:hAnsi="Times New Roman" w:cs="Times New Roman"/>
          <w:sz w:val="24"/>
          <w:szCs w:val="24"/>
          <w:lang w:val="en-US"/>
        </w:rPr>
        <w:t xml:space="preserve"> </w:t>
      </w:r>
      <w:r w:rsidR="007551D5" w:rsidRPr="00F80A39">
        <w:rPr>
          <w:rFonts w:ascii="Times New Roman" w:hAnsi="Times New Roman" w:cs="Times New Roman"/>
          <w:sz w:val="24"/>
          <w:szCs w:val="24"/>
          <w:lang w:val="en-US"/>
        </w:rPr>
        <w:t>Microwave; Water; Desorption; Separations; Zeolites; Na-ETS-10</w:t>
      </w:r>
      <w:r w:rsidRPr="003614D5">
        <w:rPr>
          <w:rFonts w:ascii="Times New Roman" w:hAnsi="Times New Roman" w:cs="Times New Roman"/>
          <w:b/>
          <w:sz w:val="24"/>
          <w:szCs w:val="24"/>
          <w:lang w:val="en-US"/>
        </w:rPr>
        <w:t xml:space="preserve">   </w:t>
      </w:r>
    </w:p>
    <w:p w14:paraId="53C46F62" w14:textId="77777777" w:rsidR="001E265E" w:rsidRPr="00BE1B0C" w:rsidRDefault="003614D5" w:rsidP="00BE1B0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265E" w:rsidRPr="001E265E">
        <w:rPr>
          <w:rFonts w:ascii="Times New Roman" w:hAnsi="Times New Roman" w:cs="Times New Roman"/>
          <w:b/>
          <w:sz w:val="24"/>
          <w:szCs w:val="24"/>
        </w:rPr>
        <w:br w:type="page"/>
      </w:r>
    </w:p>
    <w:p w14:paraId="31F1DC84" w14:textId="77777777" w:rsidR="003741E6" w:rsidRPr="00F630D0" w:rsidRDefault="00CB7048" w:rsidP="00BE1B0C">
      <w:pPr>
        <w:pStyle w:val="Heading2"/>
      </w:pPr>
      <w:r>
        <w:lastRenderedPageBreak/>
        <w:t>1.</w:t>
      </w:r>
      <w:r w:rsidR="003741E6" w:rsidRPr="00F630D0">
        <w:t xml:space="preserve"> Introduction</w:t>
      </w:r>
      <w:bookmarkEnd w:id="1"/>
    </w:p>
    <w:p w14:paraId="26A58C98" w14:textId="77777777" w:rsidR="003741E6" w:rsidRPr="003070D0" w:rsidRDefault="003741E6" w:rsidP="00BE1B0C">
      <w:pPr>
        <w:spacing w:line="480" w:lineRule="auto"/>
        <w:rPr>
          <w:rFonts w:ascii="Times New Roman" w:hAnsi="Times New Roman" w:cs="Times New Roman"/>
        </w:rPr>
      </w:pPr>
    </w:p>
    <w:p w14:paraId="380F787D" w14:textId="06BFB821" w:rsidR="0066610D" w:rsidRPr="00F80A39" w:rsidRDefault="005B0A95"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Microwave heating is an emerging technology in the chemical process industries (Bykov et al., 2001) with the advantages of being cheaper and faster than conventional adsorbent regeneration techniques such as steam regeneration (Polaert et al., 2010). </w:t>
      </w:r>
      <w:r w:rsidR="0066610D" w:rsidRPr="00F80A39">
        <w:rPr>
          <w:rFonts w:ascii="Times New Roman" w:hAnsi="Times New Roman" w:cs="Times New Roman"/>
          <w:sz w:val="24"/>
          <w:szCs w:val="24"/>
          <w:lang w:val="en-US"/>
        </w:rPr>
        <w:t>The fundamentals of microwave regeneration</w:t>
      </w:r>
      <w:r w:rsidR="0066610D" w:rsidRPr="00F80A39">
        <w:rPr>
          <w:rFonts w:ascii="Times New Roman" w:hAnsi="Times New Roman" w:cs="Times New Roman"/>
          <w:sz w:val="24"/>
          <w:szCs w:val="24"/>
        </w:rPr>
        <w:t xml:space="preserve"> are unique and opposite to the mechanism of conventional thermal regeneration techniques (Das et al., 2009).</w:t>
      </w:r>
      <w:r w:rsidR="0066610D" w:rsidRPr="00F80A39">
        <w:rPr>
          <w:rFonts w:ascii="Times New Roman" w:hAnsi="Times New Roman" w:cs="Times New Roman"/>
          <w:sz w:val="24"/>
          <w:szCs w:val="24"/>
          <w:lang w:val="en-US"/>
        </w:rPr>
        <w:t xml:space="preserve"> </w:t>
      </w:r>
      <w:r w:rsidR="001B332C" w:rsidRPr="00F80A39">
        <w:rPr>
          <w:rFonts w:ascii="Times New Roman" w:hAnsi="Times New Roman" w:cs="Times New Roman"/>
          <w:sz w:val="24"/>
          <w:szCs w:val="24"/>
          <w:lang w:val="en-US"/>
        </w:rPr>
        <w:t>I</w:t>
      </w:r>
      <w:r w:rsidR="0066610D" w:rsidRPr="00F80A39">
        <w:rPr>
          <w:rFonts w:ascii="Times New Roman" w:hAnsi="Times New Roman" w:cs="Times New Roman"/>
          <w:sz w:val="24"/>
          <w:szCs w:val="24"/>
          <w:lang w:val="en-US"/>
        </w:rPr>
        <w:t xml:space="preserve">n steam regeneration, the thermal energy is transferred from the surface to the bulk of the adsorbent bed. </w:t>
      </w:r>
      <w:r w:rsidR="00630B5C" w:rsidRPr="00F80A39">
        <w:rPr>
          <w:rFonts w:ascii="Times New Roman" w:hAnsi="Times New Roman" w:cs="Times New Roman"/>
          <w:sz w:val="24"/>
          <w:szCs w:val="24"/>
          <w:lang w:val="en-US"/>
        </w:rPr>
        <w:t>By contrast, the thermal energy in microwave regeneration is transferred from the inside to the outside of the adsorbent bed (Hashisho et al., 2005).</w:t>
      </w:r>
    </w:p>
    <w:p w14:paraId="448E2203" w14:textId="2FA141AE" w:rsidR="003741E6" w:rsidRPr="00F80A39" w:rsidRDefault="009617ED" w:rsidP="00BE1B0C">
      <w:pPr>
        <w:spacing w:line="480" w:lineRule="auto"/>
        <w:jc w:val="both"/>
        <w:rPr>
          <w:rFonts w:ascii="Times New Roman" w:hAnsi="Times New Roman" w:cs="Times New Roman"/>
          <w:color w:val="000000" w:themeColor="text1"/>
          <w:sz w:val="24"/>
          <w:szCs w:val="24"/>
          <w:lang w:val="en-US"/>
        </w:rPr>
      </w:pPr>
      <w:r w:rsidRPr="00F80A39">
        <w:rPr>
          <w:rFonts w:ascii="Times New Roman" w:hAnsi="Times New Roman" w:cs="Times New Roman"/>
          <w:sz w:val="24"/>
          <w:szCs w:val="24"/>
        </w:rPr>
        <w:t xml:space="preserve">Finding an efficient method for regeneration of the adsorbents is important for chemical industries because it is </w:t>
      </w:r>
      <w:r w:rsidR="0095787C" w:rsidRPr="00F80A39">
        <w:rPr>
          <w:rFonts w:ascii="Times New Roman" w:hAnsi="Times New Roman" w:cs="Times New Roman"/>
          <w:sz w:val="24"/>
          <w:szCs w:val="24"/>
        </w:rPr>
        <w:t>a time-consuming</w:t>
      </w:r>
      <w:r w:rsidRPr="00F80A39">
        <w:rPr>
          <w:rFonts w:ascii="Times New Roman" w:hAnsi="Times New Roman" w:cs="Times New Roman"/>
          <w:sz w:val="24"/>
          <w:szCs w:val="24"/>
        </w:rPr>
        <w:t xml:space="preserve"> process with high-energy requirements. </w:t>
      </w:r>
      <w:r w:rsidR="0095787C" w:rsidRPr="00F80A39">
        <w:rPr>
          <w:rFonts w:ascii="Times New Roman" w:hAnsi="Times New Roman" w:cs="Times New Roman"/>
          <w:sz w:val="24"/>
          <w:szCs w:val="24"/>
        </w:rPr>
        <w:t xml:space="preserve">In this context, </w:t>
      </w:r>
      <w:r w:rsidR="0095787C" w:rsidRPr="00F80A39">
        <w:rPr>
          <w:rFonts w:ascii="Times New Roman" w:hAnsi="Times New Roman" w:cs="Times New Roman"/>
          <w:sz w:val="24"/>
          <w:szCs w:val="24"/>
          <w:lang w:val="en-US"/>
        </w:rPr>
        <w:t>microwave regeneration</w:t>
      </w:r>
      <w:r w:rsidR="0095787C" w:rsidRPr="00F80A39">
        <w:rPr>
          <w:rFonts w:ascii="Times New Roman" w:hAnsi="Times New Roman" w:cs="Times New Roman"/>
          <w:sz w:val="24"/>
          <w:szCs w:val="24"/>
        </w:rPr>
        <w:t xml:space="preserve"> </w:t>
      </w:r>
      <w:r w:rsidR="002E4B57" w:rsidRPr="00F80A39">
        <w:rPr>
          <w:rFonts w:ascii="Times New Roman" w:hAnsi="Times New Roman" w:cs="Times New Roman"/>
          <w:sz w:val="24"/>
          <w:szCs w:val="24"/>
        </w:rPr>
        <w:t>was</w:t>
      </w:r>
      <w:r w:rsidR="0095787C" w:rsidRPr="00F80A39">
        <w:rPr>
          <w:rFonts w:ascii="Times New Roman" w:hAnsi="Times New Roman" w:cs="Times New Roman"/>
          <w:sz w:val="24"/>
          <w:szCs w:val="24"/>
        </w:rPr>
        <w:t xml:space="preserve"> shown to be successful in dehydrating and regenerating adsorbents saturated with volatile organic compounds (VOCs) (Roussy and Chenot, 1981; Cha and Carlisle, 2001; Hashisho et al., 2005). </w:t>
      </w:r>
      <w:r w:rsidR="00A07927" w:rsidRPr="00F80A39">
        <w:rPr>
          <w:rFonts w:ascii="Times New Roman" w:hAnsi="Times New Roman" w:cs="Times New Roman"/>
          <w:sz w:val="24"/>
          <w:szCs w:val="24"/>
        </w:rPr>
        <w:t xml:space="preserve">Dehydration of adsorbents using microwave heating was studied for </w:t>
      </w:r>
      <w:r w:rsidR="00A07927" w:rsidRPr="00F80A39">
        <w:rPr>
          <w:rFonts w:ascii="Times New Roman" w:hAnsi="Times New Roman" w:cs="Times New Roman"/>
          <w:color w:val="000000" w:themeColor="text1"/>
          <w:sz w:val="24"/>
          <w:szCs w:val="24"/>
          <w:lang w:val="en-US"/>
        </w:rPr>
        <w:t>zeolite 13X (Roussy and Chenot, 1981), zeolite 3A, 4A, 5A,</w:t>
      </w:r>
      <w:r w:rsidR="00A07927" w:rsidRPr="00F80A39">
        <w:rPr>
          <w:rFonts w:ascii="Times New Roman" w:hAnsi="Times New Roman" w:cs="Times New Roman"/>
          <w:sz w:val="24"/>
          <w:szCs w:val="24"/>
        </w:rPr>
        <w:t xml:space="preserve"> (Ohgushi et al., 2001), Na-X, and Ca-X (Ohgushi and Nagae, 2003, 2005).</w:t>
      </w:r>
      <w:r w:rsidR="00FD065C" w:rsidRPr="00F80A39">
        <w:rPr>
          <w:rFonts w:ascii="Times New Roman" w:hAnsi="Times New Roman" w:cs="Times New Roman"/>
          <w:sz w:val="24"/>
          <w:szCs w:val="24"/>
        </w:rPr>
        <w:t xml:space="preserve"> </w:t>
      </w:r>
      <w:r w:rsidR="003741E6" w:rsidRPr="00F80A39">
        <w:rPr>
          <w:rFonts w:ascii="Times New Roman" w:hAnsi="Times New Roman" w:cs="Times New Roman"/>
          <w:sz w:val="24"/>
          <w:szCs w:val="24"/>
        </w:rPr>
        <w:t xml:space="preserve">Constant power microwave heating has </w:t>
      </w:r>
      <w:r w:rsidR="00D84E17" w:rsidRPr="00F80A39">
        <w:rPr>
          <w:rFonts w:ascii="Times New Roman" w:hAnsi="Times New Roman" w:cs="Times New Roman"/>
          <w:sz w:val="24"/>
          <w:szCs w:val="24"/>
        </w:rPr>
        <w:t xml:space="preserve">also </w:t>
      </w:r>
      <w:r w:rsidR="003741E6" w:rsidRPr="00F80A39">
        <w:rPr>
          <w:rFonts w:ascii="Times New Roman" w:hAnsi="Times New Roman" w:cs="Times New Roman"/>
          <w:sz w:val="24"/>
          <w:szCs w:val="24"/>
        </w:rPr>
        <w:t xml:space="preserve">been </w:t>
      </w:r>
      <w:r w:rsidR="006B737A" w:rsidRPr="00F80A39">
        <w:rPr>
          <w:rFonts w:ascii="Times New Roman" w:hAnsi="Times New Roman" w:cs="Times New Roman"/>
          <w:sz w:val="24"/>
          <w:szCs w:val="24"/>
        </w:rPr>
        <w:t xml:space="preserve">used </w:t>
      </w:r>
      <w:r w:rsidR="003741E6" w:rsidRPr="00F80A39">
        <w:rPr>
          <w:rFonts w:ascii="Times New Roman" w:hAnsi="Times New Roman" w:cs="Times New Roman"/>
          <w:sz w:val="24"/>
          <w:szCs w:val="24"/>
        </w:rPr>
        <w:t>to regenerate</w:t>
      </w:r>
      <w:r w:rsidR="003741E6" w:rsidRPr="00F80A39">
        <w:rPr>
          <w:rFonts w:ascii="Times New Roman" w:hAnsi="Times New Roman" w:cs="Times New Roman"/>
          <w:color w:val="000000" w:themeColor="text1"/>
          <w:sz w:val="24"/>
          <w:szCs w:val="24"/>
          <w:lang w:val="en-US"/>
        </w:rPr>
        <w:t xml:space="preserve"> dealuminated Y zeolite (DAY) (Reuβ et al., 2002; Turner et al., 2000)</w:t>
      </w:r>
      <w:r w:rsidR="003741E6" w:rsidRPr="00F80A39">
        <w:rPr>
          <w:rFonts w:ascii="Times New Roman" w:hAnsi="Times New Roman" w:cs="Times New Roman"/>
          <w:color w:val="000000" w:themeColor="text1"/>
          <w:sz w:val="24"/>
          <w:szCs w:val="24"/>
          <w:lang w:bidi="fa-IR"/>
        </w:rPr>
        <w:t>, silicate</w:t>
      </w:r>
      <w:r w:rsidR="003741E6" w:rsidRPr="00F80A39">
        <w:rPr>
          <w:rFonts w:ascii="Times New Roman" w:hAnsi="Times New Roman" w:cs="Times New Roman"/>
          <w:b/>
          <w:sz w:val="24"/>
          <w:szCs w:val="24"/>
          <w:lang w:val="en-US"/>
        </w:rPr>
        <w:t xml:space="preserve"> </w:t>
      </w:r>
      <w:r w:rsidR="003741E6" w:rsidRPr="00F80A39">
        <w:rPr>
          <w:rFonts w:ascii="Times New Roman" w:hAnsi="Times New Roman" w:cs="Times New Roman"/>
          <w:sz w:val="24"/>
          <w:szCs w:val="24"/>
          <w:lang w:val="en-US"/>
        </w:rPr>
        <w:t>(Meier, 2009)</w:t>
      </w:r>
      <w:r w:rsidR="003741E6" w:rsidRPr="00F80A39">
        <w:rPr>
          <w:rFonts w:ascii="Times New Roman" w:hAnsi="Times New Roman" w:cs="Times New Roman"/>
          <w:color w:val="000000" w:themeColor="text1"/>
          <w:sz w:val="24"/>
          <w:szCs w:val="24"/>
          <w:lang w:bidi="fa-IR"/>
        </w:rPr>
        <w:t>, mordinate (Kim et al., 2005), faujasite (FAU) (Kim et al., 2007) and Engelhard titanosilicate (ETS-10) (Shi et al., 2010)</w:t>
      </w:r>
      <w:r w:rsidR="003741E6" w:rsidRPr="00F80A39">
        <w:rPr>
          <w:rFonts w:ascii="Times New Roman" w:hAnsi="Times New Roman" w:cs="Times New Roman"/>
          <w:sz w:val="24"/>
          <w:szCs w:val="24"/>
        </w:rPr>
        <w:t xml:space="preserve">. </w:t>
      </w:r>
    </w:p>
    <w:p w14:paraId="1BBB9553" w14:textId="09817EB6" w:rsidR="003741E6" w:rsidRPr="00F80A39" w:rsidRDefault="00040453" w:rsidP="00BE1B0C">
      <w:pPr>
        <w:spacing w:line="480" w:lineRule="auto"/>
        <w:jc w:val="both"/>
        <w:rPr>
          <w:rFonts w:ascii="Times New Roman" w:hAnsi="Times New Roman" w:cs="Times New Roman"/>
          <w:sz w:val="24"/>
          <w:szCs w:val="24"/>
        </w:rPr>
      </w:pPr>
      <w:r w:rsidRPr="00F80A39">
        <w:rPr>
          <w:rFonts w:ascii="Times New Roman" w:hAnsi="Times New Roman" w:cs="Times New Roman"/>
          <w:color w:val="000000" w:themeColor="text1"/>
          <w:sz w:val="24"/>
          <w:szCs w:val="24"/>
          <w:lang w:val="en-US"/>
        </w:rPr>
        <w:t>N</w:t>
      </w:r>
      <w:r w:rsidR="003741E6" w:rsidRPr="00F80A39">
        <w:rPr>
          <w:rFonts w:ascii="Times New Roman" w:hAnsi="Times New Roman" w:cs="Times New Roman"/>
          <w:color w:val="000000" w:themeColor="text1"/>
          <w:sz w:val="24"/>
          <w:szCs w:val="24"/>
          <w:lang w:val="en-US"/>
        </w:rPr>
        <w:t xml:space="preserve">atural gas </w:t>
      </w:r>
      <w:r w:rsidRPr="00F80A39">
        <w:rPr>
          <w:rFonts w:ascii="Times New Roman" w:hAnsi="Times New Roman" w:cs="Times New Roman"/>
          <w:color w:val="000000" w:themeColor="text1"/>
          <w:sz w:val="24"/>
          <w:szCs w:val="24"/>
          <w:lang w:val="en-US"/>
        </w:rPr>
        <w:t xml:space="preserve">is considered to be a cleaner alternative to other fuels and its supply currently </w:t>
      </w:r>
      <w:r w:rsidR="003741E6" w:rsidRPr="00F80A39">
        <w:rPr>
          <w:rFonts w:ascii="Times New Roman" w:hAnsi="Times New Roman" w:cs="Times New Roman"/>
          <w:color w:val="000000" w:themeColor="text1"/>
          <w:sz w:val="24"/>
          <w:szCs w:val="24"/>
          <w:lang w:val="en-US"/>
        </w:rPr>
        <w:t>meets one-fourth of the world’s energy needs</w:t>
      </w:r>
      <w:r w:rsidRPr="00F80A39">
        <w:rPr>
          <w:rFonts w:ascii="Times New Roman" w:hAnsi="Times New Roman" w:cs="Times New Roman"/>
          <w:color w:val="000000" w:themeColor="text1"/>
          <w:sz w:val="24"/>
          <w:szCs w:val="24"/>
          <w:lang w:val="en-US"/>
        </w:rPr>
        <w:t>.</w:t>
      </w:r>
      <w:r w:rsidR="003741E6" w:rsidRPr="00F80A39">
        <w:rPr>
          <w:rFonts w:ascii="Times New Roman" w:hAnsi="Times New Roman" w:cs="Times New Roman"/>
          <w:color w:val="000000" w:themeColor="text1"/>
          <w:sz w:val="24"/>
          <w:szCs w:val="24"/>
          <w:lang w:val="en-US"/>
        </w:rPr>
        <w:t xml:space="preserve"> Typically, natural gas contains traces of impurities such </w:t>
      </w:r>
      <w:r w:rsidR="003741E6" w:rsidRPr="00F80A39">
        <w:rPr>
          <w:rFonts w:ascii="Times New Roman" w:hAnsi="Times New Roman" w:cs="Times New Roman"/>
          <w:color w:val="000000" w:themeColor="text1"/>
          <w:sz w:val="24"/>
          <w:szCs w:val="24"/>
          <w:lang w:val="en-US"/>
        </w:rPr>
        <w:lastRenderedPageBreak/>
        <w:t>as car</w:t>
      </w:r>
      <w:r w:rsidR="00D84E17" w:rsidRPr="00F80A39">
        <w:rPr>
          <w:rFonts w:ascii="Times New Roman" w:hAnsi="Times New Roman" w:cs="Times New Roman"/>
          <w:color w:val="000000" w:themeColor="text1"/>
          <w:sz w:val="24"/>
          <w:szCs w:val="24"/>
          <w:lang w:val="en-US"/>
        </w:rPr>
        <w:t>bon monoxide, carbon dioxide, and</w:t>
      </w:r>
      <w:r w:rsidR="003741E6" w:rsidRPr="00F80A39">
        <w:rPr>
          <w:rFonts w:ascii="Times New Roman" w:hAnsi="Times New Roman" w:cs="Times New Roman"/>
          <w:color w:val="000000" w:themeColor="text1"/>
          <w:sz w:val="24"/>
          <w:szCs w:val="24"/>
          <w:lang w:val="en-US"/>
        </w:rPr>
        <w:t xml:space="preserve"> nitrogen. </w:t>
      </w:r>
      <w:r w:rsidR="00D84E17" w:rsidRPr="00F80A39">
        <w:rPr>
          <w:rFonts w:ascii="Times New Roman" w:hAnsi="Times New Roman" w:cs="Times New Roman"/>
          <w:color w:val="000000" w:themeColor="text1"/>
          <w:sz w:val="24"/>
          <w:szCs w:val="24"/>
          <w:lang w:val="en-US"/>
        </w:rPr>
        <w:t>In Australia and Germany, natural gas contains more than 10% carbon dioxide (CO</w:t>
      </w:r>
      <w:r w:rsidR="00D84E17" w:rsidRPr="00F80A39">
        <w:rPr>
          <w:rFonts w:ascii="Times New Roman" w:hAnsi="Times New Roman" w:cs="Times New Roman"/>
          <w:color w:val="000000" w:themeColor="text1"/>
          <w:sz w:val="24"/>
          <w:szCs w:val="24"/>
          <w:vertAlign w:val="subscript"/>
          <w:lang w:val="en-US"/>
        </w:rPr>
        <w:t>2</w:t>
      </w:r>
      <w:r w:rsidR="00D84E17" w:rsidRPr="00F80A39">
        <w:rPr>
          <w:rFonts w:ascii="Times New Roman" w:hAnsi="Times New Roman" w:cs="Times New Roman"/>
          <w:color w:val="000000" w:themeColor="text1"/>
          <w:sz w:val="24"/>
          <w:szCs w:val="24"/>
          <w:lang w:val="en-US"/>
        </w:rPr>
        <w:t>) impurity (Caventi et al., 2004). This percentage needs to be reduced to meet the ‘pipeline quality’ (&lt; 2% CO</w:t>
      </w:r>
      <w:r w:rsidR="00D84E17" w:rsidRPr="00F80A39">
        <w:rPr>
          <w:rFonts w:ascii="Times New Roman" w:hAnsi="Times New Roman" w:cs="Times New Roman"/>
          <w:color w:val="000000" w:themeColor="text1"/>
          <w:sz w:val="24"/>
          <w:szCs w:val="24"/>
          <w:vertAlign w:val="subscript"/>
          <w:lang w:val="en-US"/>
        </w:rPr>
        <w:t>2</w:t>
      </w:r>
      <w:r w:rsidR="00D84E17" w:rsidRPr="00F80A39">
        <w:rPr>
          <w:rFonts w:ascii="Times New Roman" w:hAnsi="Times New Roman" w:cs="Times New Roman"/>
          <w:color w:val="000000" w:themeColor="text1"/>
          <w:sz w:val="24"/>
          <w:szCs w:val="24"/>
          <w:lang w:val="en-US"/>
        </w:rPr>
        <w:t xml:space="preserve"> impurity) set for methane (CH</w:t>
      </w:r>
      <w:r w:rsidR="00D84E17" w:rsidRPr="00F80A39">
        <w:rPr>
          <w:rFonts w:ascii="Times New Roman" w:hAnsi="Times New Roman" w:cs="Times New Roman"/>
          <w:color w:val="000000" w:themeColor="text1"/>
          <w:sz w:val="24"/>
          <w:szCs w:val="24"/>
          <w:vertAlign w:val="subscript"/>
          <w:lang w:val="en-US"/>
        </w:rPr>
        <w:t>4</w:t>
      </w:r>
      <w:r w:rsidR="00D84E17" w:rsidRPr="00F80A39">
        <w:rPr>
          <w:rFonts w:ascii="Times New Roman" w:hAnsi="Times New Roman" w:cs="Times New Roman"/>
          <w:color w:val="000000" w:themeColor="text1"/>
          <w:sz w:val="24"/>
          <w:szCs w:val="24"/>
          <w:lang w:val="en-US"/>
        </w:rPr>
        <w:t>) in order to protect</w:t>
      </w:r>
      <w:r w:rsidR="003741E6" w:rsidRPr="00F80A39">
        <w:rPr>
          <w:rFonts w:ascii="Times New Roman" w:hAnsi="Times New Roman" w:cs="Times New Roman"/>
          <w:color w:val="000000" w:themeColor="text1"/>
          <w:sz w:val="24"/>
          <w:szCs w:val="24"/>
          <w:lang w:val="en-US"/>
        </w:rPr>
        <w:t xml:space="preserve"> equipment and pipeline infrastructures </w:t>
      </w:r>
      <w:r w:rsidR="003741E6" w:rsidRPr="00F80A39">
        <w:rPr>
          <w:rFonts w:ascii="Times New Roman" w:hAnsi="Times New Roman" w:cs="Times New Roman"/>
          <w:sz w:val="24"/>
          <w:szCs w:val="24"/>
        </w:rPr>
        <w:t>(Cavenati et al., 2004)</w:t>
      </w:r>
      <w:r w:rsidR="003741E6" w:rsidRPr="00F80A39">
        <w:rPr>
          <w:rFonts w:ascii="Times New Roman" w:hAnsi="Times New Roman" w:cs="Times New Roman"/>
          <w:color w:val="000000" w:themeColor="text1"/>
          <w:sz w:val="24"/>
          <w:szCs w:val="24"/>
          <w:lang w:val="en-US"/>
        </w:rPr>
        <w:t xml:space="preserve">. </w:t>
      </w:r>
      <w:r w:rsidR="006F339D" w:rsidRPr="00F80A39">
        <w:rPr>
          <w:rFonts w:ascii="Times New Roman" w:hAnsi="Times New Roman" w:cs="Times New Roman"/>
          <w:color w:val="000000" w:themeColor="text1"/>
          <w:sz w:val="24"/>
          <w:szCs w:val="24"/>
          <w:lang w:val="en-US"/>
        </w:rPr>
        <w:t>ETS-10, a titanosilicate molecular sieve with pores large enough to accommodate CO</w:t>
      </w:r>
      <w:r w:rsidR="006F339D" w:rsidRPr="00F80A39">
        <w:rPr>
          <w:rFonts w:ascii="Times New Roman" w:hAnsi="Times New Roman" w:cs="Times New Roman"/>
          <w:color w:val="000000" w:themeColor="text1"/>
          <w:sz w:val="24"/>
          <w:szCs w:val="24"/>
          <w:vertAlign w:val="subscript"/>
          <w:lang w:val="en-US"/>
        </w:rPr>
        <w:t>2</w:t>
      </w:r>
      <w:r w:rsidR="006F339D" w:rsidRPr="00F80A39">
        <w:rPr>
          <w:rFonts w:ascii="Times New Roman" w:hAnsi="Times New Roman" w:cs="Times New Roman"/>
          <w:color w:val="000000" w:themeColor="text1"/>
          <w:sz w:val="24"/>
          <w:szCs w:val="24"/>
          <w:lang w:val="en-US"/>
        </w:rPr>
        <w:t xml:space="preserve"> and lighter hydrocarbons, is shown to purify CH</w:t>
      </w:r>
      <w:r w:rsidR="006F339D" w:rsidRPr="00F80A39">
        <w:rPr>
          <w:rFonts w:ascii="Times New Roman" w:hAnsi="Times New Roman" w:cs="Times New Roman"/>
          <w:color w:val="000000" w:themeColor="text1"/>
          <w:sz w:val="24"/>
          <w:szCs w:val="24"/>
          <w:vertAlign w:val="subscript"/>
          <w:lang w:val="en-US"/>
        </w:rPr>
        <w:t>4</w:t>
      </w:r>
      <w:r w:rsidR="006F339D" w:rsidRPr="00F80A39">
        <w:rPr>
          <w:rFonts w:ascii="Times New Roman" w:hAnsi="Times New Roman" w:cs="Times New Roman"/>
          <w:color w:val="000000" w:themeColor="text1"/>
          <w:sz w:val="24"/>
          <w:szCs w:val="24"/>
          <w:lang w:val="en-US"/>
        </w:rPr>
        <w:t xml:space="preserve"> by preferentially adsorbing CO</w:t>
      </w:r>
      <w:r w:rsidR="006F339D" w:rsidRPr="00F80A39">
        <w:rPr>
          <w:rFonts w:ascii="Times New Roman" w:hAnsi="Times New Roman" w:cs="Times New Roman"/>
          <w:color w:val="000000" w:themeColor="text1"/>
          <w:sz w:val="24"/>
          <w:szCs w:val="24"/>
          <w:vertAlign w:val="subscript"/>
          <w:lang w:val="en-US"/>
        </w:rPr>
        <w:t>2</w:t>
      </w:r>
      <w:r w:rsidR="006F339D" w:rsidRPr="00F80A39">
        <w:rPr>
          <w:rFonts w:ascii="Times New Roman" w:hAnsi="Times New Roman" w:cs="Times New Roman"/>
          <w:color w:val="000000" w:themeColor="text1"/>
          <w:sz w:val="24"/>
          <w:szCs w:val="24"/>
          <w:lang w:val="en-US"/>
        </w:rPr>
        <w:t xml:space="preserve"> over CH</w:t>
      </w:r>
      <w:r w:rsidR="006F339D" w:rsidRPr="00F80A39">
        <w:rPr>
          <w:rFonts w:ascii="Times New Roman" w:hAnsi="Times New Roman" w:cs="Times New Roman"/>
          <w:color w:val="000000" w:themeColor="text1"/>
          <w:sz w:val="24"/>
          <w:szCs w:val="24"/>
          <w:vertAlign w:val="subscript"/>
          <w:lang w:val="en-US"/>
        </w:rPr>
        <w:t>4</w:t>
      </w:r>
      <w:r w:rsidR="006F339D" w:rsidRPr="00F80A39">
        <w:rPr>
          <w:rFonts w:ascii="Times New Roman" w:hAnsi="Times New Roman" w:cs="Times New Roman"/>
          <w:color w:val="000000" w:themeColor="text1"/>
          <w:sz w:val="24"/>
          <w:szCs w:val="24"/>
          <w:lang w:val="en-US"/>
        </w:rPr>
        <w:t>. (Kuznicki, 1991; Anderson et al., 1994)</w:t>
      </w:r>
      <w:r w:rsidR="006F339D" w:rsidRPr="00F80A39">
        <w:rPr>
          <w:rFonts w:ascii="Times New Roman" w:hAnsi="Times New Roman" w:cs="Times New Roman"/>
          <w:sz w:val="24"/>
          <w:szCs w:val="24"/>
        </w:rPr>
        <w:t xml:space="preserve">. </w:t>
      </w:r>
      <w:r w:rsidR="006F339D" w:rsidRPr="00F80A39">
        <w:rPr>
          <w:rFonts w:ascii="Times New Roman" w:hAnsi="Times New Roman" w:cs="Times New Roman"/>
          <w:color w:val="000000" w:themeColor="text1"/>
          <w:sz w:val="24"/>
          <w:szCs w:val="24"/>
          <w:lang w:val="en-US"/>
        </w:rPr>
        <w:t>ETS-10 can preferentially adsorb CO</w:t>
      </w:r>
      <w:r w:rsidR="006F339D" w:rsidRPr="00F80A39">
        <w:rPr>
          <w:rFonts w:ascii="Times New Roman" w:hAnsi="Times New Roman" w:cs="Times New Roman"/>
          <w:color w:val="000000" w:themeColor="text1"/>
          <w:sz w:val="24"/>
          <w:szCs w:val="24"/>
          <w:vertAlign w:val="subscript"/>
          <w:lang w:val="en-US"/>
        </w:rPr>
        <w:t>2</w:t>
      </w:r>
      <w:r w:rsidR="006F339D" w:rsidRPr="00F80A39">
        <w:rPr>
          <w:rFonts w:ascii="Times New Roman" w:hAnsi="Times New Roman" w:cs="Times New Roman"/>
          <w:color w:val="000000" w:themeColor="text1"/>
          <w:sz w:val="24"/>
          <w:szCs w:val="24"/>
          <w:lang w:val="en-US"/>
        </w:rPr>
        <w:t xml:space="preserve">  over C</w:t>
      </w:r>
      <w:r w:rsidR="006F339D" w:rsidRPr="00F80A39">
        <w:rPr>
          <w:rFonts w:ascii="Times New Roman" w:hAnsi="Times New Roman" w:cs="Times New Roman"/>
          <w:color w:val="000000" w:themeColor="text1"/>
          <w:sz w:val="24"/>
          <w:szCs w:val="24"/>
          <w:vertAlign w:val="subscript"/>
          <w:lang w:val="en-US"/>
        </w:rPr>
        <w:t>2</w:t>
      </w:r>
      <w:r w:rsidR="006F339D" w:rsidRPr="00F80A39">
        <w:rPr>
          <w:rFonts w:ascii="Times New Roman" w:hAnsi="Times New Roman" w:cs="Times New Roman"/>
          <w:color w:val="000000" w:themeColor="text1"/>
          <w:sz w:val="24"/>
          <w:szCs w:val="24"/>
          <w:lang w:val="en-US"/>
        </w:rPr>
        <w:t>H</w:t>
      </w:r>
      <w:r w:rsidR="006F339D" w:rsidRPr="00F80A39">
        <w:rPr>
          <w:rFonts w:ascii="Times New Roman" w:hAnsi="Times New Roman" w:cs="Times New Roman"/>
          <w:color w:val="000000" w:themeColor="text1"/>
          <w:sz w:val="24"/>
          <w:szCs w:val="24"/>
          <w:vertAlign w:val="subscript"/>
          <w:lang w:val="en-US"/>
        </w:rPr>
        <w:t>6</w:t>
      </w:r>
      <w:r w:rsidR="006F339D" w:rsidRPr="00F80A39">
        <w:rPr>
          <w:rFonts w:ascii="Times New Roman" w:hAnsi="Times New Roman" w:cs="Times New Roman"/>
          <w:color w:val="000000" w:themeColor="text1"/>
          <w:sz w:val="24"/>
          <w:szCs w:val="24"/>
          <w:lang w:val="en-US"/>
        </w:rPr>
        <w:t xml:space="preserve"> as well. (Anson et al., 2009). However like with adsorbents there is </w:t>
      </w:r>
      <w:r w:rsidR="001222D9" w:rsidRPr="00F80A39">
        <w:rPr>
          <w:rFonts w:ascii="Times New Roman" w:hAnsi="Times New Roman" w:cs="Times New Roman"/>
          <w:color w:val="000000" w:themeColor="text1"/>
          <w:sz w:val="24"/>
          <w:szCs w:val="24"/>
          <w:lang w:val="en-US"/>
        </w:rPr>
        <w:t xml:space="preserve">a </w:t>
      </w:r>
      <w:r w:rsidR="006F339D" w:rsidRPr="00F80A39">
        <w:rPr>
          <w:rFonts w:ascii="Times New Roman" w:hAnsi="Times New Roman" w:cs="Times New Roman"/>
          <w:color w:val="000000" w:themeColor="text1"/>
          <w:sz w:val="24"/>
          <w:szCs w:val="24"/>
          <w:lang w:val="en-US"/>
        </w:rPr>
        <w:t>need to efficiently regenerate and reuse ETS-10.</w:t>
      </w:r>
      <w:r w:rsidR="001222D9" w:rsidRPr="00F80A39">
        <w:rPr>
          <w:rFonts w:ascii="Times New Roman" w:hAnsi="Times New Roman" w:cs="Times New Roman"/>
          <w:color w:val="000000" w:themeColor="text1"/>
          <w:sz w:val="24"/>
          <w:szCs w:val="24"/>
          <w:lang w:val="en-US"/>
        </w:rPr>
        <w:t xml:space="preserve"> Previous studies on regeneration of Na-ETS-10 with steam, conductive heating, and microwave heating techniques have shown </w:t>
      </w:r>
      <w:r w:rsidR="008958D6" w:rsidRPr="00F80A39">
        <w:rPr>
          <w:rFonts w:ascii="Times New Roman" w:hAnsi="Times New Roman" w:cs="Times New Roman"/>
          <w:color w:val="000000" w:themeColor="text1"/>
          <w:sz w:val="24"/>
          <w:szCs w:val="24"/>
          <w:lang w:val="en-US"/>
        </w:rPr>
        <w:t>that</w:t>
      </w:r>
      <w:r w:rsidR="001222D9" w:rsidRPr="00F80A39">
        <w:rPr>
          <w:rFonts w:ascii="Times New Roman" w:hAnsi="Times New Roman" w:cs="Times New Roman"/>
          <w:color w:val="000000" w:themeColor="text1"/>
          <w:sz w:val="24"/>
          <w:szCs w:val="24"/>
          <w:lang w:val="en-US"/>
        </w:rPr>
        <w:t xml:space="preserve"> microwave regeneration </w:t>
      </w:r>
      <w:r w:rsidR="008958D6" w:rsidRPr="00F80A39">
        <w:rPr>
          <w:rFonts w:ascii="Times New Roman" w:hAnsi="Times New Roman" w:cs="Times New Roman"/>
          <w:color w:val="000000" w:themeColor="text1"/>
          <w:sz w:val="24"/>
          <w:szCs w:val="24"/>
          <w:lang w:val="en-US"/>
        </w:rPr>
        <w:t xml:space="preserve">is </w:t>
      </w:r>
      <w:r w:rsidR="001222D9" w:rsidRPr="00F80A39">
        <w:rPr>
          <w:rFonts w:ascii="Times New Roman" w:hAnsi="Times New Roman" w:cs="Times New Roman"/>
          <w:color w:val="000000" w:themeColor="text1"/>
          <w:sz w:val="24"/>
          <w:szCs w:val="24"/>
          <w:lang w:val="en-US"/>
        </w:rPr>
        <w:t xml:space="preserve">faster and more energy efficient than the other two techniques (Shi et al., 2010; Chowdhury et al., 2012). </w:t>
      </w:r>
      <w:r w:rsidR="00F118F2" w:rsidRPr="00F80A39">
        <w:rPr>
          <w:rFonts w:ascii="Times New Roman" w:hAnsi="Times New Roman" w:cs="Times New Roman"/>
          <w:color w:val="000000" w:themeColor="text1"/>
          <w:sz w:val="24"/>
          <w:szCs w:val="24"/>
          <w:lang w:val="en-US"/>
        </w:rPr>
        <w:t>These</w:t>
      </w:r>
      <w:r w:rsidR="008958D6" w:rsidRPr="00F80A39">
        <w:rPr>
          <w:rFonts w:ascii="Times New Roman" w:hAnsi="Times New Roman" w:cs="Times New Roman"/>
          <w:color w:val="000000" w:themeColor="text1"/>
          <w:sz w:val="24"/>
          <w:szCs w:val="24"/>
          <w:lang w:val="en-US"/>
        </w:rPr>
        <w:t xml:space="preserve"> studies reported that Na-ETS-10 provides maximum water desorption by mass action displacement but the energy requirement for drying wet Na-ETS-10 has yet to be determined</w:t>
      </w:r>
      <w:r w:rsidR="008958D6" w:rsidRPr="00F80A39">
        <w:rPr>
          <w:rFonts w:ascii="Times New Roman" w:hAnsi="Times New Roman" w:cs="Times New Roman"/>
          <w:sz w:val="24"/>
          <w:szCs w:val="24"/>
        </w:rPr>
        <w:t xml:space="preserve"> </w:t>
      </w:r>
      <w:r w:rsidR="008958D6" w:rsidRPr="00F80A39">
        <w:rPr>
          <w:rFonts w:ascii="Times New Roman" w:hAnsi="Times New Roman" w:cs="Times New Roman"/>
          <w:color w:val="000000" w:themeColor="text1"/>
          <w:sz w:val="24"/>
          <w:szCs w:val="24"/>
          <w:lang w:val="en-US"/>
        </w:rPr>
        <w:t xml:space="preserve">(Shi et al, 2010, Chowdhury et al., 2012). </w:t>
      </w:r>
    </w:p>
    <w:p w14:paraId="065C4887" w14:textId="0785F453" w:rsidR="003741E6" w:rsidRPr="00F80A39" w:rsidRDefault="00790CAC" w:rsidP="00BE1B0C">
      <w:pPr>
        <w:spacing w:line="480" w:lineRule="auto"/>
        <w:jc w:val="both"/>
        <w:rPr>
          <w:rFonts w:ascii="Times New Roman" w:hAnsi="Times New Roman" w:cs="Times New Roman"/>
          <w:color w:val="000000" w:themeColor="text1"/>
          <w:sz w:val="24"/>
          <w:szCs w:val="24"/>
          <w:lang w:val="en-US"/>
        </w:rPr>
      </w:pPr>
      <w:r w:rsidRPr="00F80A39">
        <w:rPr>
          <w:rFonts w:ascii="Times New Roman" w:hAnsi="Times New Roman" w:cs="Times New Roman"/>
          <w:color w:val="000000" w:themeColor="text1"/>
          <w:sz w:val="24"/>
          <w:szCs w:val="24"/>
          <w:lang w:val="en-US"/>
        </w:rPr>
        <w:t>This study investigates an indirect method for regenerating Na-ETS-10 (water desorption followed by microwave drying) and compares it to</w:t>
      </w:r>
      <w:r w:rsidRPr="00F80A39">
        <w:rPr>
          <w:rFonts w:ascii="Times New Roman" w:hAnsi="Times New Roman" w:cs="Times New Roman"/>
          <w:sz w:val="24"/>
          <w:szCs w:val="24"/>
        </w:rPr>
        <w:t xml:space="preserve"> direct microwave regeneration. </w:t>
      </w:r>
      <w:r w:rsidR="009D3427" w:rsidRPr="00F80A39">
        <w:rPr>
          <w:rFonts w:ascii="Times New Roman" w:hAnsi="Times New Roman" w:cs="Times New Roman"/>
          <w:color w:val="000000" w:themeColor="text1"/>
          <w:sz w:val="24"/>
          <w:szCs w:val="24"/>
          <w:lang w:val="en-US"/>
        </w:rPr>
        <w:t xml:space="preserve">In direct microwave regeneration </w:t>
      </w:r>
      <w:r w:rsidRPr="00F80A39">
        <w:rPr>
          <w:rFonts w:ascii="Times New Roman" w:hAnsi="Times New Roman" w:cs="Times New Roman"/>
          <w:color w:val="000000" w:themeColor="text1"/>
          <w:sz w:val="24"/>
          <w:szCs w:val="24"/>
          <w:lang w:val="en-US"/>
        </w:rPr>
        <w:t>CO</w:t>
      </w:r>
      <w:r w:rsidRPr="00F80A39">
        <w:rPr>
          <w:rFonts w:ascii="Times New Roman" w:hAnsi="Times New Roman" w:cs="Times New Roman"/>
          <w:color w:val="000000" w:themeColor="text1"/>
          <w:sz w:val="24"/>
          <w:szCs w:val="24"/>
          <w:vertAlign w:val="subscript"/>
          <w:lang w:val="en-US"/>
        </w:rPr>
        <w:t>2</w:t>
      </w:r>
      <w:r w:rsidRPr="00F80A39">
        <w:rPr>
          <w:rFonts w:ascii="Times New Roman" w:hAnsi="Times New Roman" w:cs="Times New Roman"/>
          <w:color w:val="000000" w:themeColor="text1"/>
          <w:sz w:val="24"/>
          <w:szCs w:val="24"/>
          <w:lang w:val="en-US"/>
        </w:rPr>
        <w:t>/CH</w:t>
      </w:r>
      <w:r w:rsidRPr="00F80A39">
        <w:rPr>
          <w:rFonts w:ascii="Times New Roman" w:hAnsi="Times New Roman" w:cs="Times New Roman"/>
          <w:color w:val="000000" w:themeColor="text1"/>
          <w:sz w:val="24"/>
          <w:szCs w:val="24"/>
          <w:vertAlign w:val="subscript"/>
          <w:lang w:val="en-US"/>
        </w:rPr>
        <w:t>4</w:t>
      </w:r>
      <w:r w:rsidRPr="00F80A39">
        <w:rPr>
          <w:rFonts w:ascii="Times New Roman" w:hAnsi="Times New Roman" w:cs="Times New Roman"/>
          <w:color w:val="000000" w:themeColor="text1"/>
          <w:sz w:val="24"/>
          <w:szCs w:val="24"/>
          <w:lang w:val="en-US"/>
        </w:rPr>
        <w:t xml:space="preserve"> mixture was adsorbed on a packed bed of Na-ETS-10 and then desorbed by water injection. </w:t>
      </w:r>
      <w:r w:rsidR="003741E6" w:rsidRPr="00F80A39">
        <w:rPr>
          <w:rFonts w:ascii="Times New Roman" w:hAnsi="Times New Roman" w:cs="Times New Roman"/>
          <w:color w:val="000000" w:themeColor="text1"/>
          <w:sz w:val="24"/>
          <w:szCs w:val="24"/>
          <w:lang w:val="en-US"/>
        </w:rPr>
        <w:t xml:space="preserve">The wet adsorbent </w:t>
      </w:r>
      <w:r w:rsidR="008F7F87" w:rsidRPr="00F80A39">
        <w:rPr>
          <w:rFonts w:ascii="Times New Roman" w:hAnsi="Times New Roman" w:cs="Times New Roman"/>
          <w:color w:val="000000" w:themeColor="text1"/>
          <w:sz w:val="24"/>
          <w:szCs w:val="24"/>
          <w:lang w:val="en-US"/>
        </w:rPr>
        <w:t xml:space="preserve">was </w:t>
      </w:r>
      <w:r w:rsidR="00520476" w:rsidRPr="00F80A39">
        <w:rPr>
          <w:rFonts w:ascii="Times New Roman" w:hAnsi="Times New Roman" w:cs="Times New Roman"/>
          <w:color w:val="000000" w:themeColor="text1"/>
          <w:sz w:val="24"/>
          <w:szCs w:val="24"/>
          <w:lang w:val="en-US"/>
        </w:rPr>
        <w:t xml:space="preserve">then </w:t>
      </w:r>
      <w:r w:rsidR="003741E6" w:rsidRPr="00F80A39">
        <w:rPr>
          <w:rFonts w:ascii="Times New Roman" w:hAnsi="Times New Roman" w:cs="Times New Roman"/>
          <w:color w:val="000000" w:themeColor="text1"/>
          <w:sz w:val="24"/>
          <w:szCs w:val="24"/>
          <w:lang w:val="en-US"/>
        </w:rPr>
        <w:t xml:space="preserve">dried and reactivated using microwave heating. In </w:t>
      </w:r>
      <w:r w:rsidR="00E75E1C" w:rsidRPr="00F80A39">
        <w:rPr>
          <w:rFonts w:ascii="Times New Roman" w:hAnsi="Times New Roman" w:cs="Times New Roman"/>
          <w:color w:val="000000" w:themeColor="text1"/>
          <w:sz w:val="24"/>
          <w:szCs w:val="24"/>
          <w:lang w:val="en-US"/>
        </w:rPr>
        <w:t xml:space="preserve">direct </w:t>
      </w:r>
      <w:r w:rsidR="003741E6" w:rsidRPr="00F80A39">
        <w:rPr>
          <w:rFonts w:ascii="Times New Roman" w:hAnsi="Times New Roman" w:cs="Times New Roman"/>
          <w:color w:val="000000" w:themeColor="text1"/>
          <w:sz w:val="24"/>
          <w:szCs w:val="24"/>
          <w:lang w:val="en-US"/>
        </w:rPr>
        <w:t>microwave regeneration, CO</w:t>
      </w:r>
      <w:r w:rsidR="003741E6" w:rsidRPr="00F80A39">
        <w:rPr>
          <w:rFonts w:ascii="Times New Roman" w:hAnsi="Times New Roman" w:cs="Times New Roman"/>
          <w:color w:val="000000" w:themeColor="text1"/>
          <w:sz w:val="24"/>
          <w:szCs w:val="24"/>
          <w:vertAlign w:val="subscript"/>
          <w:lang w:val="en-US"/>
        </w:rPr>
        <w:t>2</w:t>
      </w:r>
      <w:r w:rsidR="003741E6" w:rsidRPr="00F80A39">
        <w:rPr>
          <w:rFonts w:ascii="Times New Roman" w:hAnsi="Times New Roman" w:cs="Times New Roman"/>
          <w:color w:val="000000" w:themeColor="text1"/>
          <w:sz w:val="24"/>
          <w:szCs w:val="24"/>
          <w:lang w:val="en-US"/>
        </w:rPr>
        <w:t>/CH</w:t>
      </w:r>
      <w:r w:rsidR="003741E6" w:rsidRPr="00F80A39">
        <w:rPr>
          <w:rFonts w:ascii="Times New Roman" w:hAnsi="Times New Roman" w:cs="Times New Roman"/>
          <w:color w:val="000000" w:themeColor="text1"/>
          <w:sz w:val="24"/>
          <w:szCs w:val="24"/>
          <w:vertAlign w:val="subscript"/>
          <w:lang w:val="en-US"/>
        </w:rPr>
        <w:t>4</w:t>
      </w:r>
      <w:r w:rsidR="003741E6" w:rsidRPr="00F80A39">
        <w:rPr>
          <w:rFonts w:ascii="Times New Roman" w:hAnsi="Times New Roman" w:cs="Times New Roman"/>
          <w:color w:val="000000" w:themeColor="text1"/>
          <w:sz w:val="24"/>
          <w:szCs w:val="24"/>
          <w:lang w:val="en-US"/>
        </w:rPr>
        <w:t xml:space="preserve"> </w:t>
      </w:r>
      <w:r w:rsidR="003741E6" w:rsidRPr="00F80A39">
        <w:rPr>
          <w:rFonts w:ascii="Times New Roman" w:hAnsi="Times New Roman" w:cs="Times New Roman"/>
          <w:sz w:val="24"/>
          <w:szCs w:val="24"/>
        </w:rPr>
        <w:t xml:space="preserve">gas mixture </w:t>
      </w:r>
      <w:r w:rsidR="008F7F87" w:rsidRPr="00F80A39">
        <w:rPr>
          <w:rFonts w:ascii="Times New Roman" w:hAnsi="Times New Roman" w:cs="Times New Roman"/>
          <w:sz w:val="24"/>
          <w:szCs w:val="24"/>
        </w:rPr>
        <w:t>was</w:t>
      </w:r>
      <w:r w:rsidR="003741E6" w:rsidRPr="00F80A39">
        <w:rPr>
          <w:rFonts w:ascii="Times New Roman" w:hAnsi="Times New Roman" w:cs="Times New Roman"/>
          <w:sz w:val="24"/>
          <w:szCs w:val="24"/>
        </w:rPr>
        <w:t xml:space="preserve"> adsorbed on a packed bed of Na-ETS-10</w:t>
      </w:r>
      <w:r w:rsidR="009D3427" w:rsidRPr="00F80A39">
        <w:rPr>
          <w:rFonts w:ascii="Times New Roman" w:hAnsi="Times New Roman" w:cs="Times New Roman"/>
          <w:sz w:val="24"/>
          <w:szCs w:val="24"/>
        </w:rPr>
        <w:t>,</w:t>
      </w:r>
      <w:r w:rsidR="003741E6" w:rsidRPr="00F80A39">
        <w:rPr>
          <w:rFonts w:ascii="Times New Roman" w:hAnsi="Times New Roman" w:cs="Times New Roman"/>
          <w:sz w:val="24"/>
          <w:szCs w:val="24"/>
        </w:rPr>
        <w:t xml:space="preserve"> and desorbed using constant power microwave heating. </w:t>
      </w:r>
      <w:r w:rsidR="004C0948" w:rsidRPr="00F80A39">
        <w:rPr>
          <w:rFonts w:ascii="Times New Roman" w:hAnsi="Times New Roman" w:cs="Times New Roman"/>
          <w:sz w:val="24"/>
          <w:szCs w:val="24"/>
        </w:rPr>
        <w:t>T</w:t>
      </w:r>
      <w:r w:rsidR="003741E6" w:rsidRPr="00F80A39">
        <w:rPr>
          <w:rFonts w:ascii="Times New Roman" w:hAnsi="Times New Roman" w:cs="Times New Roman"/>
          <w:sz w:val="24"/>
          <w:szCs w:val="24"/>
        </w:rPr>
        <w:t xml:space="preserve">he swing capacity, gas recovery, and energy consumption achieved </w:t>
      </w:r>
      <w:r w:rsidR="004C0948" w:rsidRPr="00F80A39">
        <w:rPr>
          <w:rFonts w:ascii="Times New Roman" w:hAnsi="Times New Roman" w:cs="Times New Roman"/>
          <w:color w:val="000000" w:themeColor="text1"/>
          <w:sz w:val="24"/>
          <w:szCs w:val="24"/>
          <w:lang w:val="en-US"/>
        </w:rPr>
        <w:t xml:space="preserve">over five adsorption-desorption cycles were </w:t>
      </w:r>
      <w:r w:rsidR="009D3427" w:rsidRPr="00F80A39">
        <w:rPr>
          <w:rFonts w:ascii="Times New Roman" w:hAnsi="Times New Roman" w:cs="Times New Roman"/>
          <w:color w:val="000000" w:themeColor="text1"/>
          <w:sz w:val="24"/>
          <w:szCs w:val="24"/>
          <w:lang w:val="en-US"/>
        </w:rPr>
        <w:t xml:space="preserve">measured and </w:t>
      </w:r>
      <w:r w:rsidR="004C0948" w:rsidRPr="00F80A39">
        <w:rPr>
          <w:rFonts w:ascii="Times New Roman" w:hAnsi="Times New Roman" w:cs="Times New Roman"/>
          <w:color w:val="000000" w:themeColor="text1"/>
          <w:sz w:val="24"/>
          <w:szCs w:val="24"/>
          <w:lang w:val="en-US"/>
        </w:rPr>
        <w:t>compared</w:t>
      </w:r>
      <w:r w:rsidR="009D3427" w:rsidRPr="00F80A39">
        <w:rPr>
          <w:rFonts w:ascii="Times New Roman" w:hAnsi="Times New Roman" w:cs="Times New Roman"/>
          <w:sz w:val="24"/>
          <w:szCs w:val="24"/>
        </w:rPr>
        <w:t xml:space="preserve"> between indirect and direct microwave </w:t>
      </w:r>
      <w:r w:rsidR="009D3427" w:rsidRPr="00F80A39">
        <w:rPr>
          <w:rFonts w:ascii="Times New Roman" w:hAnsi="Times New Roman" w:cs="Times New Roman"/>
          <w:color w:val="000000" w:themeColor="text1"/>
          <w:sz w:val="24"/>
          <w:szCs w:val="24"/>
          <w:lang w:val="en-US"/>
        </w:rPr>
        <w:t>regeneration</w:t>
      </w:r>
      <w:r w:rsidR="00C91305" w:rsidRPr="00F80A39">
        <w:rPr>
          <w:rFonts w:ascii="Times New Roman" w:hAnsi="Times New Roman" w:cs="Times New Roman"/>
          <w:color w:val="000000" w:themeColor="text1"/>
          <w:sz w:val="24"/>
          <w:szCs w:val="24"/>
          <w:lang w:val="en-US"/>
        </w:rPr>
        <w:t>.</w:t>
      </w:r>
    </w:p>
    <w:p w14:paraId="1D571F70" w14:textId="77777777" w:rsidR="003741E6" w:rsidRPr="00F80A39" w:rsidRDefault="003741E6" w:rsidP="00BE1B0C">
      <w:pPr>
        <w:pStyle w:val="Heading2"/>
      </w:pPr>
      <w:bookmarkStart w:id="2" w:name="_Toc320568476"/>
      <w:r w:rsidRPr="00F80A39">
        <w:lastRenderedPageBreak/>
        <w:t>2</w:t>
      </w:r>
      <w:r w:rsidR="00CB7048" w:rsidRPr="00F80A39">
        <w:t>.</w:t>
      </w:r>
      <w:r w:rsidRPr="00F80A39">
        <w:t xml:space="preserve"> Experimental</w:t>
      </w:r>
      <w:bookmarkEnd w:id="2"/>
    </w:p>
    <w:p w14:paraId="325DCE9A" w14:textId="77777777" w:rsidR="003741E6" w:rsidRPr="00F80A39" w:rsidRDefault="003741E6" w:rsidP="00BE1B0C">
      <w:pPr>
        <w:spacing w:line="480" w:lineRule="auto"/>
        <w:rPr>
          <w:rFonts w:ascii="Times New Roman" w:hAnsi="Times New Roman" w:cs="Times New Roman"/>
        </w:rPr>
      </w:pPr>
    </w:p>
    <w:p w14:paraId="53CBA54A"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Na-ETS-10 was synthesized using the hydrothermal technique as described elsewhere (Kuznicki, 1991). </w:t>
      </w:r>
      <w:r w:rsidR="00E75E1C" w:rsidRPr="00F80A39">
        <w:rPr>
          <w:rFonts w:ascii="Times New Roman" w:hAnsi="Times New Roman" w:cs="Times New Roman"/>
          <w:sz w:val="24"/>
          <w:szCs w:val="24"/>
        </w:rPr>
        <w:t xml:space="preserve">Powder Na-ETS-10 was pelletized into </w:t>
      </w:r>
      <w:r w:rsidRPr="00F80A39">
        <w:rPr>
          <w:rFonts w:ascii="Times New Roman" w:hAnsi="Times New Roman" w:cs="Times New Roman"/>
          <w:sz w:val="24"/>
          <w:szCs w:val="24"/>
        </w:rPr>
        <w:t xml:space="preserve">16-20 mesh pellets. A detailed method of pellet preparation can be found elsewhere (Shi et al., 2010). </w:t>
      </w:r>
    </w:p>
    <w:p w14:paraId="4690DC54"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Adsorption-desorption experiments were performed using an adsorbent bed 3.75cm long and 2.9cm in diameter containing 10g of Na-ETS-10 and a double ended cylindrical quartz column. </w:t>
      </w:r>
      <w:r w:rsidR="00520476" w:rsidRPr="00F80A39">
        <w:rPr>
          <w:rFonts w:ascii="Times New Roman" w:hAnsi="Times New Roman" w:cs="Times New Roman"/>
          <w:sz w:val="24"/>
          <w:szCs w:val="24"/>
        </w:rPr>
        <w:t xml:space="preserve">Activation of the sample was completed </w:t>
      </w:r>
      <w:r w:rsidRPr="00F80A39">
        <w:rPr>
          <w:rFonts w:ascii="Times New Roman" w:hAnsi="Times New Roman" w:cs="Times New Roman"/>
          <w:sz w:val="24"/>
          <w:szCs w:val="24"/>
        </w:rPr>
        <w:t>at 200°C in a laboratory oven for 16h under 120ml/min helium gas flow. The feed gas mixture (Praxair) of 10%CO</w:t>
      </w:r>
      <w:r w:rsidRPr="00F80A39">
        <w:rPr>
          <w:rFonts w:ascii="Times New Roman" w:hAnsi="Times New Roman" w:cs="Times New Roman"/>
          <w:sz w:val="24"/>
          <w:szCs w:val="24"/>
          <w:vertAlign w:val="subscript"/>
        </w:rPr>
        <w:t>2</w:t>
      </w:r>
      <w:r w:rsidRPr="00F80A39">
        <w:rPr>
          <w:rFonts w:ascii="Times New Roman" w:hAnsi="Times New Roman" w:cs="Times New Roman"/>
          <w:sz w:val="24"/>
          <w:szCs w:val="24"/>
        </w:rPr>
        <w:t xml:space="preserve"> and 90%CH</w:t>
      </w:r>
      <w:r w:rsidRPr="00F80A39">
        <w:rPr>
          <w:rFonts w:ascii="Times New Roman" w:hAnsi="Times New Roman" w:cs="Times New Roman"/>
          <w:sz w:val="24"/>
          <w:szCs w:val="24"/>
          <w:vertAlign w:val="subscript"/>
        </w:rPr>
        <w:t>4</w:t>
      </w:r>
      <w:r w:rsidRPr="00F80A39">
        <w:rPr>
          <w:rFonts w:ascii="Times New Roman" w:hAnsi="Times New Roman" w:cs="Times New Roman"/>
          <w:sz w:val="24"/>
          <w:szCs w:val="24"/>
        </w:rPr>
        <w:t xml:space="preserve"> was introduced into the fixed bed column with a flow rate of 300 mL/min at 22°C and 101.325 kPa. The outlet gas was sampled and analysed by using a gas chromatograph (Agilent 5890) equipped with a thermal conductivity detector and </w:t>
      </w:r>
      <w:r w:rsidR="00293523" w:rsidRPr="00F80A39">
        <w:rPr>
          <w:rFonts w:ascii="Times New Roman" w:hAnsi="Times New Roman" w:cs="Times New Roman"/>
          <w:sz w:val="24"/>
          <w:szCs w:val="24"/>
        </w:rPr>
        <w:t xml:space="preserve">Supelco </w:t>
      </w:r>
      <w:r w:rsidRPr="00F80A39">
        <w:rPr>
          <w:rFonts w:ascii="Times New Roman" w:hAnsi="Times New Roman" w:cs="Times New Roman"/>
          <w:sz w:val="24"/>
          <w:szCs w:val="24"/>
        </w:rPr>
        <w:t xml:space="preserve">matrix Heysep Q column. </w:t>
      </w:r>
      <w:r w:rsidR="00520476" w:rsidRPr="00F80A39">
        <w:rPr>
          <w:rFonts w:ascii="Times New Roman" w:hAnsi="Times New Roman" w:cs="Times New Roman"/>
          <w:sz w:val="24"/>
          <w:szCs w:val="24"/>
        </w:rPr>
        <w:t>Adsorption proceeded under a</w:t>
      </w:r>
      <w:r w:rsidRPr="00F80A39">
        <w:rPr>
          <w:rFonts w:ascii="Times New Roman" w:hAnsi="Times New Roman" w:cs="Times New Roman"/>
          <w:sz w:val="24"/>
          <w:szCs w:val="24"/>
        </w:rPr>
        <w:t xml:space="preserve"> continuous flow of feed gas until saturation when the outlet composition became the same as the feed composition. Na-ETS-10 </w:t>
      </w:r>
      <w:r w:rsidR="00520476" w:rsidRPr="00F80A39">
        <w:rPr>
          <w:rFonts w:ascii="Times New Roman" w:hAnsi="Times New Roman" w:cs="Times New Roman"/>
          <w:sz w:val="24"/>
          <w:szCs w:val="24"/>
        </w:rPr>
        <w:t xml:space="preserve">became </w:t>
      </w:r>
      <w:r w:rsidRPr="00F80A39">
        <w:rPr>
          <w:rFonts w:ascii="Times New Roman" w:hAnsi="Times New Roman" w:cs="Times New Roman"/>
          <w:sz w:val="24"/>
          <w:szCs w:val="24"/>
        </w:rPr>
        <w:t>saturated with CO</w:t>
      </w:r>
      <w:r w:rsidRPr="00F80A39">
        <w:rPr>
          <w:rFonts w:ascii="Times New Roman" w:hAnsi="Times New Roman" w:cs="Times New Roman"/>
          <w:sz w:val="24"/>
          <w:szCs w:val="24"/>
          <w:vertAlign w:val="subscript"/>
        </w:rPr>
        <w:t>2</w:t>
      </w:r>
      <w:r w:rsidRPr="00F80A39">
        <w:rPr>
          <w:rFonts w:ascii="Times New Roman" w:hAnsi="Times New Roman" w:cs="Times New Roman"/>
          <w:sz w:val="24"/>
          <w:szCs w:val="24"/>
        </w:rPr>
        <w:t>/CH</w:t>
      </w:r>
      <w:r w:rsidRPr="00F80A39">
        <w:rPr>
          <w:rFonts w:ascii="Times New Roman" w:hAnsi="Times New Roman" w:cs="Times New Roman"/>
          <w:sz w:val="24"/>
          <w:szCs w:val="24"/>
          <w:vertAlign w:val="subscript"/>
        </w:rPr>
        <w:t>4</w:t>
      </w:r>
      <w:r w:rsidRPr="00F80A39">
        <w:rPr>
          <w:rFonts w:ascii="Times New Roman" w:hAnsi="Times New Roman" w:cs="Times New Roman"/>
          <w:sz w:val="24"/>
          <w:szCs w:val="24"/>
        </w:rPr>
        <w:t xml:space="preserve"> after 90 minutes.</w:t>
      </w:r>
    </w:p>
    <w:p w14:paraId="3E615131" w14:textId="0CBF2208"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In the </w:t>
      </w:r>
      <w:r w:rsidR="005567BF" w:rsidRPr="00F80A39">
        <w:rPr>
          <w:rFonts w:ascii="Times New Roman" w:hAnsi="Times New Roman" w:cs="Times New Roman"/>
          <w:sz w:val="24"/>
          <w:szCs w:val="24"/>
        </w:rPr>
        <w:t xml:space="preserve">indirect </w:t>
      </w:r>
      <w:r w:rsidR="00297223" w:rsidRPr="00F80A39">
        <w:rPr>
          <w:rFonts w:ascii="Times New Roman" w:hAnsi="Times New Roman" w:cs="Times New Roman"/>
          <w:sz w:val="24"/>
          <w:szCs w:val="24"/>
        </w:rPr>
        <w:t xml:space="preserve">microwave </w:t>
      </w:r>
      <w:r w:rsidR="005567BF" w:rsidRPr="00F80A39">
        <w:rPr>
          <w:rFonts w:ascii="Times New Roman" w:hAnsi="Times New Roman" w:cs="Times New Roman"/>
          <w:sz w:val="24"/>
          <w:szCs w:val="24"/>
        </w:rPr>
        <w:t>regeneration</w:t>
      </w:r>
      <w:r w:rsidRPr="00F80A39">
        <w:rPr>
          <w:rFonts w:ascii="Times New Roman" w:hAnsi="Times New Roman" w:cs="Times New Roman"/>
          <w:sz w:val="24"/>
          <w:szCs w:val="24"/>
        </w:rPr>
        <w:t xml:space="preserve">, 5ml water was injected into the saturated adsorbent. The desorbed gas flowed to a downstream flask and was collected by water displacement. The experiment was </w:t>
      </w:r>
      <w:r w:rsidR="00F02B74" w:rsidRPr="00F80A39">
        <w:rPr>
          <w:rFonts w:ascii="Times New Roman" w:hAnsi="Times New Roman" w:cs="Times New Roman"/>
          <w:sz w:val="24"/>
          <w:szCs w:val="24"/>
        </w:rPr>
        <w:t xml:space="preserve">carried out </w:t>
      </w:r>
      <w:r w:rsidRPr="00F80A39">
        <w:rPr>
          <w:rFonts w:ascii="Times New Roman" w:hAnsi="Times New Roman" w:cs="Times New Roman"/>
          <w:sz w:val="24"/>
          <w:szCs w:val="24"/>
        </w:rPr>
        <w:t xml:space="preserve">until no gas evolution was observed. The volume of the displaced water was equal to the volume of the gas that was collected at the outlet. After desorption with water, a microwave generation and propagation </w:t>
      </w:r>
      <w:r w:rsidR="00391A8E" w:rsidRPr="00F80A39">
        <w:rPr>
          <w:rFonts w:ascii="Times New Roman" w:hAnsi="Times New Roman" w:cs="Times New Roman"/>
          <w:sz w:val="24"/>
          <w:szCs w:val="24"/>
        </w:rPr>
        <w:t xml:space="preserve">system </w:t>
      </w:r>
      <w:r w:rsidRPr="00F80A39">
        <w:rPr>
          <w:rFonts w:ascii="Times New Roman" w:hAnsi="Times New Roman" w:cs="Times New Roman"/>
          <w:sz w:val="24"/>
          <w:szCs w:val="24"/>
        </w:rPr>
        <w:t xml:space="preserve">was used to dry the adsorbent. The system consisted of a 2 kW switch-mode power supply (SM745G.1, Alter), a 2 kW </w:t>
      </w:r>
      <w:r w:rsidR="00815F19" w:rsidRPr="00F80A39">
        <w:rPr>
          <w:rFonts w:ascii="Times New Roman" w:hAnsi="Times New Roman" w:cs="Times New Roman"/>
          <w:sz w:val="24"/>
          <w:szCs w:val="24"/>
        </w:rPr>
        <w:t xml:space="preserve">variable output </w:t>
      </w:r>
      <w:r w:rsidRPr="00F80A39">
        <w:rPr>
          <w:rFonts w:ascii="Times New Roman" w:hAnsi="Times New Roman" w:cs="Times New Roman"/>
          <w:sz w:val="24"/>
          <w:szCs w:val="24"/>
        </w:rPr>
        <w:t xml:space="preserve">microwave </w:t>
      </w:r>
      <w:r w:rsidR="00293523" w:rsidRPr="00F80A39">
        <w:rPr>
          <w:rFonts w:ascii="Times New Roman" w:hAnsi="Times New Roman" w:cs="Times New Roman"/>
          <w:sz w:val="24"/>
          <w:szCs w:val="24"/>
        </w:rPr>
        <w:t xml:space="preserve">generator </w:t>
      </w:r>
      <w:r w:rsidRPr="00F80A39">
        <w:rPr>
          <w:rFonts w:ascii="Times New Roman" w:hAnsi="Times New Roman" w:cs="Times New Roman"/>
          <w:sz w:val="24"/>
          <w:szCs w:val="24"/>
        </w:rPr>
        <w:t xml:space="preserve">(MH2.0W-S, National Electronics) equipped with a 2.45 GHz magnetron, an isolator (National Electronics), a three-stub tuner (National Electronics), and a </w:t>
      </w:r>
      <w:r w:rsidRPr="00F80A39">
        <w:rPr>
          <w:rFonts w:ascii="Times New Roman" w:hAnsi="Times New Roman" w:cs="Times New Roman"/>
          <w:sz w:val="24"/>
          <w:szCs w:val="24"/>
        </w:rPr>
        <w:lastRenderedPageBreak/>
        <w:t xml:space="preserve">waveguide applicator connected to a sliding short (IBF Electronic GmbH &amp; Co. KG). </w:t>
      </w:r>
      <w:r w:rsidR="00391A8E" w:rsidRPr="00F80A39">
        <w:rPr>
          <w:rFonts w:ascii="Times New Roman" w:hAnsi="Times New Roman" w:cs="Times New Roman"/>
          <w:sz w:val="24"/>
          <w:szCs w:val="24"/>
        </w:rPr>
        <w:t>At the beginning of the experiment t</w:t>
      </w:r>
      <w:r w:rsidRPr="00F80A39">
        <w:rPr>
          <w:rFonts w:ascii="Times New Roman" w:hAnsi="Times New Roman" w:cs="Times New Roman"/>
          <w:sz w:val="24"/>
          <w:szCs w:val="24"/>
        </w:rPr>
        <w:t xml:space="preserve">he tuner and the sliding short were manually adjusted </w:t>
      </w:r>
      <w:r w:rsidR="00391A8E" w:rsidRPr="00F80A39">
        <w:rPr>
          <w:rFonts w:ascii="Times New Roman" w:hAnsi="Times New Roman" w:cs="Times New Roman"/>
          <w:sz w:val="24"/>
          <w:szCs w:val="24"/>
        </w:rPr>
        <w:t xml:space="preserve">for matching the impedance and </w:t>
      </w:r>
      <w:r w:rsidRPr="00F80A39">
        <w:rPr>
          <w:rFonts w:ascii="Times New Roman" w:hAnsi="Times New Roman" w:cs="Times New Roman"/>
          <w:sz w:val="24"/>
          <w:szCs w:val="24"/>
        </w:rPr>
        <w:t>improv</w:t>
      </w:r>
      <w:r w:rsidR="00391A8E" w:rsidRPr="00F80A39">
        <w:rPr>
          <w:rFonts w:ascii="Times New Roman" w:hAnsi="Times New Roman" w:cs="Times New Roman"/>
          <w:sz w:val="24"/>
          <w:szCs w:val="24"/>
        </w:rPr>
        <w:t>ing</w:t>
      </w:r>
      <w:r w:rsidRPr="00F80A39">
        <w:rPr>
          <w:rFonts w:ascii="Times New Roman" w:hAnsi="Times New Roman" w:cs="Times New Roman"/>
          <w:sz w:val="24"/>
          <w:szCs w:val="24"/>
        </w:rPr>
        <w:t xml:space="preserve"> the energy transfer to the adsorbent. </w:t>
      </w:r>
      <w:r w:rsidR="00391A8E" w:rsidRPr="00F80A39">
        <w:rPr>
          <w:rFonts w:ascii="Times New Roman" w:hAnsi="Times New Roman" w:cs="Times New Roman"/>
          <w:sz w:val="24"/>
          <w:szCs w:val="24"/>
        </w:rPr>
        <w:t xml:space="preserve">To determine energy consumption, </w:t>
      </w:r>
      <w:r w:rsidR="00DE6791" w:rsidRPr="00F80A39">
        <w:rPr>
          <w:rFonts w:ascii="Times New Roman" w:hAnsi="Times New Roman" w:cs="Times New Roman"/>
          <w:sz w:val="24"/>
          <w:szCs w:val="24"/>
        </w:rPr>
        <w:t xml:space="preserve">power was monitored using </w:t>
      </w:r>
      <w:r w:rsidR="00391A8E" w:rsidRPr="00F80A39">
        <w:rPr>
          <w:rFonts w:ascii="Times New Roman" w:hAnsi="Times New Roman" w:cs="Times New Roman"/>
          <w:sz w:val="24"/>
          <w:szCs w:val="24"/>
        </w:rPr>
        <w:t xml:space="preserve">a dual channel microwave power meter (E4419B, Agilent), </w:t>
      </w:r>
      <w:r w:rsidR="00DE6791" w:rsidRPr="00F80A39">
        <w:rPr>
          <w:rFonts w:ascii="Times New Roman" w:hAnsi="Times New Roman" w:cs="Times New Roman"/>
          <w:sz w:val="24"/>
          <w:szCs w:val="24"/>
        </w:rPr>
        <w:t xml:space="preserve">two power sensors (8481A, Agilent), and </w:t>
      </w:r>
      <w:r w:rsidR="00391A8E" w:rsidRPr="00F80A39">
        <w:rPr>
          <w:rFonts w:ascii="Times New Roman" w:hAnsi="Times New Roman" w:cs="Times New Roman"/>
          <w:sz w:val="24"/>
          <w:szCs w:val="24"/>
        </w:rPr>
        <w:t xml:space="preserve">a </w:t>
      </w:r>
      <w:r w:rsidRPr="00F80A39">
        <w:rPr>
          <w:rFonts w:ascii="Times New Roman" w:hAnsi="Times New Roman" w:cs="Times New Roman"/>
          <w:sz w:val="24"/>
          <w:szCs w:val="24"/>
        </w:rPr>
        <w:t>dual directional coupler with 60 db attenuation (Mega Industries).</w:t>
      </w:r>
      <w:r w:rsidR="00DE6791" w:rsidRPr="00F80A39">
        <w:rPr>
          <w:rFonts w:ascii="Times New Roman" w:hAnsi="Times New Roman" w:cs="Times New Roman"/>
          <w:sz w:val="24"/>
          <w:szCs w:val="24"/>
        </w:rPr>
        <w:t xml:space="preserve"> To avoid interference with the electromagnetic field, a fiber optic temperature sensor with a signal conditioner (Reflex signal conditioner, Neoptix)</w:t>
      </w:r>
      <w:r w:rsidRPr="00F80A39">
        <w:rPr>
          <w:rFonts w:ascii="Times New Roman" w:hAnsi="Times New Roman" w:cs="Times New Roman"/>
          <w:sz w:val="24"/>
          <w:szCs w:val="24"/>
        </w:rPr>
        <w:t xml:space="preserve"> </w:t>
      </w:r>
      <w:r w:rsidR="00DE6791" w:rsidRPr="00F80A39">
        <w:rPr>
          <w:rFonts w:ascii="Times New Roman" w:hAnsi="Times New Roman" w:cs="Times New Roman"/>
          <w:sz w:val="24"/>
          <w:szCs w:val="24"/>
        </w:rPr>
        <w:t xml:space="preserve">was used to monitor the </w:t>
      </w:r>
      <w:r w:rsidRPr="00F80A39">
        <w:rPr>
          <w:rFonts w:ascii="Times New Roman" w:hAnsi="Times New Roman" w:cs="Times New Roman"/>
          <w:sz w:val="24"/>
          <w:szCs w:val="24"/>
        </w:rPr>
        <w:t xml:space="preserve">temperature of the </w:t>
      </w:r>
      <w:r w:rsidR="00DE6791" w:rsidRPr="00F80A39">
        <w:rPr>
          <w:rFonts w:ascii="Times New Roman" w:hAnsi="Times New Roman" w:cs="Times New Roman"/>
          <w:sz w:val="24"/>
          <w:szCs w:val="24"/>
        </w:rPr>
        <w:t xml:space="preserve">adsorbent during </w:t>
      </w:r>
      <w:r w:rsidR="00DE455B" w:rsidRPr="00F80A39">
        <w:rPr>
          <w:rFonts w:ascii="Times New Roman" w:hAnsi="Times New Roman" w:cs="Times New Roman"/>
          <w:sz w:val="24"/>
          <w:szCs w:val="24"/>
        </w:rPr>
        <w:t>microwave</w:t>
      </w:r>
      <w:r w:rsidR="00DE6791" w:rsidRPr="00F80A39">
        <w:rPr>
          <w:rFonts w:ascii="Times New Roman" w:hAnsi="Times New Roman" w:cs="Times New Roman"/>
          <w:sz w:val="24"/>
          <w:szCs w:val="24"/>
        </w:rPr>
        <w:t xml:space="preserve"> heating. A</w:t>
      </w:r>
      <w:r w:rsidRPr="00F80A39">
        <w:rPr>
          <w:rFonts w:ascii="Times New Roman" w:hAnsi="Times New Roman" w:cs="Times New Roman"/>
          <w:sz w:val="24"/>
          <w:szCs w:val="24"/>
        </w:rPr>
        <w:t xml:space="preserve"> data acquisition and control (DAC) system (Compact DAC, National Instruments) equipped with a Labview program (National Instruments) </w:t>
      </w:r>
      <w:r w:rsidR="00DE6791" w:rsidRPr="00F80A39">
        <w:rPr>
          <w:rFonts w:ascii="Times New Roman" w:hAnsi="Times New Roman" w:cs="Times New Roman"/>
          <w:sz w:val="24"/>
          <w:szCs w:val="24"/>
        </w:rPr>
        <w:t xml:space="preserve">was used </w:t>
      </w:r>
      <w:r w:rsidRPr="00F80A39">
        <w:rPr>
          <w:rFonts w:ascii="Times New Roman" w:hAnsi="Times New Roman" w:cs="Times New Roman"/>
          <w:sz w:val="24"/>
          <w:szCs w:val="24"/>
        </w:rPr>
        <w:t xml:space="preserve">to record the </w:t>
      </w:r>
      <w:r w:rsidR="00DE6791" w:rsidRPr="00F80A39">
        <w:rPr>
          <w:rFonts w:ascii="Times New Roman" w:hAnsi="Times New Roman" w:cs="Times New Roman"/>
          <w:sz w:val="24"/>
          <w:szCs w:val="24"/>
        </w:rPr>
        <w:t xml:space="preserve">signals from the temperature sensor, and power meter </w:t>
      </w:r>
      <w:r w:rsidRPr="00F80A39">
        <w:rPr>
          <w:rFonts w:ascii="Times New Roman" w:hAnsi="Times New Roman" w:cs="Times New Roman"/>
          <w:sz w:val="24"/>
          <w:szCs w:val="24"/>
        </w:rPr>
        <w:t>and control the</w:t>
      </w:r>
      <w:r w:rsidR="00DE6791" w:rsidRPr="00F80A39">
        <w:rPr>
          <w:rFonts w:ascii="Times New Roman" w:hAnsi="Times New Roman" w:cs="Times New Roman"/>
          <w:sz w:val="24"/>
          <w:szCs w:val="24"/>
        </w:rPr>
        <w:t xml:space="preserve"> output of the power supply</w:t>
      </w:r>
      <w:r w:rsidRPr="00F80A39">
        <w:rPr>
          <w:rFonts w:ascii="Times New Roman" w:hAnsi="Times New Roman" w:cs="Times New Roman"/>
          <w:sz w:val="24"/>
          <w:szCs w:val="24"/>
        </w:rPr>
        <w:t xml:space="preserve">. The Labview program was used to monitor and control the heating. During the microwave drying, a 120 </w:t>
      </w:r>
      <w:r w:rsidR="00293523" w:rsidRPr="00F80A39">
        <w:rPr>
          <w:rFonts w:ascii="Times New Roman" w:hAnsi="Times New Roman" w:cs="Times New Roman"/>
          <w:sz w:val="24"/>
          <w:szCs w:val="24"/>
        </w:rPr>
        <w:t>sccm</w:t>
      </w:r>
      <w:r w:rsidRPr="00F80A39">
        <w:rPr>
          <w:rFonts w:ascii="Times New Roman" w:hAnsi="Times New Roman" w:cs="Times New Roman"/>
          <w:sz w:val="24"/>
          <w:szCs w:val="24"/>
        </w:rPr>
        <w:t xml:space="preserve"> nitrogen flow was used as purge gas to provide uniform heating. After microwave drying, the nitrogen flow was adjusted to 300 </w:t>
      </w:r>
      <w:r w:rsidR="00293523" w:rsidRPr="00F80A39">
        <w:rPr>
          <w:rFonts w:ascii="Times New Roman" w:hAnsi="Times New Roman" w:cs="Times New Roman"/>
          <w:sz w:val="24"/>
          <w:szCs w:val="24"/>
        </w:rPr>
        <w:t xml:space="preserve">sccm </w:t>
      </w:r>
      <w:r w:rsidR="0048363A" w:rsidRPr="00F80A39">
        <w:rPr>
          <w:rFonts w:ascii="Times New Roman" w:hAnsi="Times New Roman" w:cs="Times New Roman"/>
          <w:sz w:val="24"/>
          <w:szCs w:val="24"/>
        </w:rPr>
        <w:t xml:space="preserve">for faster </w:t>
      </w:r>
      <w:r w:rsidRPr="00F80A39">
        <w:rPr>
          <w:rFonts w:ascii="Times New Roman" w:hAnsi="Times New Roman" w:cs="Times New Roman"/>
          <w:sz w:val="24"/>
          <w:szCs w:val="24"/>
        </w:rPr>
        <w:t>cool</w:t>
      </w:r>
      <w:r w:rsidR="0048363A" w:rsidRPr="00F80A39">
        <w:rPr>
          <w:rFonts w:ascii="Times New Roman" w:hAnsi="Times New Roman" w:cs="Times New Roman"/>
          <w:sz w:val="24"/>
          <w:szCs w:val="24"/>
        </w:rPr>
        <w:t xml:space="preserve">ing of </w:t>
      </w:r>
      <w:r w:rsidRPr="00F80A39">
        <w:rPr>
          <w:rFonts w:ascii="Times New Roman" w:hAnsi="Times New Roman" w:cs="Times New Roman"/>
          <w:sz w:val="24"/>
          <w:szCs w:val="24"/>
        </w:rPr>
        <w:t xml:space="preserve">the bed to room temperature. Once the bed reached </w:t>
      </w:r>
      <w:r w:rsidR="0048363A" w:rsidRPr="00F80A39">
        <w:rPr>
          <w:rFonts w:ascii="Times New Roman" w:hAnsi="Times New Roman" w:cs="Times New Roman"/>
          <w:sz w:val="24"/>
          <w:szCs w:val="24"/>
        </w:rPr>
        <w:t>room</w:t>
      </w:r>
      <w:r w:rsidRPr="00F80A39">
        <w:rPr>
          <w:rFonts w:ascii="Times New Roman" w:hAnsi="Times New Roman" w:cs="Times New Roman"/>
          <w:sz w:val="24"/>
          <w:szCs w:val="24"/>
        </w:rPr>
        <w:t xml:space="preserve"> temperature, further adsorption-water desorption-microwave drying cycles were initiated. A block diagram showing adsorption and regeneration by water desorption followed by microwave drying is presented</w:t>
      </w:r>
      <w:r w:rsidR="00D61D69" w:rsidRPr="00F80A39">
        <w:rPr>
          <w:rFonts w:ascii="Times New Roman" w:hAnsi="Times New Roman" w:cs="Times New Roman"/>
          <w:sz w:val="24"/>
          <w:szCs w:val="24"/>
        </w:rPr>
        <w:t xml:space="preserve"> in Figure </w:t>
      </w:r>
      <w:r w:rsidRPr="00F80A39">
        <w:rPr>
          <w:rFonts w:ascii="Times New Roman" w:hAnsi="Times New Roman" w:cs="Times New Roman"/>
          <w:sz w:val="24"/>
          <w:szCs w:val="24"/>
        </w:rPr>
        <w:t>1.</w:t>
      </w:r>
    </w:p>
    <w:p w14:paraId="36749400" w14:textId="38FACB86" w:rsidR="003741E6" w:rsidRPr="00F80A39" w:rsidRDefault="00616DB0" w:rsidP="005567BF">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The same microwave generation system was used for both indirect and direct microwave regenerations. </w:t>
      </w:r>
      <w:r w:rsidR="00815F19" w:rsidRPr="00F80A39">
        <w:rPr>
          <w:rFonts w:ascii="Times New Roman" w:hAnsi="Times New Roman" w:cs="Times New Roman"/>
          <w:sz w:val="24"/>
          <w:szCs w:val="24"/>
        </w:rPr>
        <w:t xml:space="preserve">After </w:t>
      </w:r>
      <w:r w:rsidR="003741E6" w:rsidRPr="00F80A39">
        <w:rPr>
          <w:rFonts w:ascii="Times New Roman" w:hAnsi="Times New Roman" w:cs="Times New Roman"/>
          <w:sz w:val="24"/>
          <w:szCs w:val="24"/>
        </w:rPr>
        <w:t>saturation</w:t>
      </w:r>
      <w:r w:rsidR="00293523" w:rsidRPr="00F80A39">
        <w:rPr>
          <w:rFonts w:ascii="Times New Roman" w:hAnsi="Times New Roman" w:cs="Times New Roman"/>
          <w:sz w:val="24"/>
          <w:szCs w:val="24"/>
        </w:rPr>
        <w:t xml:space="preserve"> of the adsorbent</w:t>
      </w:r>
      <w:r w:rsidR="003741E6" w:rsidRPr="00F80A39">
        <w:rPr>
          <w:rFonts w:ascii="Times New Roman" w:hAnsi="Times New Roman" w:cs="Times New Roman"/>
          <w:sz w:val="24"/>
          <w:szCs w:val="24"/>
        </w:rPr>
        <w:t xml:space="preserve">, the microwave generation system was turned on, and the heating was initiated using the Labview program. </w:t>
      </w:r>
      <w:r w:rsidR="005567BF" w:rsidRPr="00F80A39">
        <w:rPr>
          <w:rFonts w:ascii="Times New Roman" w:hAnsi="Times New Roman" w:cs="Times New Roman"/>
          <w:sz w:val="24"/>
          <w:szCs w:val="24"/>
        </w:rPr>
        <w:t xml:space="preserve">The adsorbent was exposed to a constant incident microwave power of 60W until the bed temperature reached its set-point, </w:t>
      </w:r>
      <w:r w:rsidR="00E739CD" w:rsidRPr="00F80A39">
        <w:rPr>
          <w:rFonts w:ascii="Times New Roman" w:hAnsi="Times New Roman" w:cs="Times New Roman"/>
          <w:sz w:val="24"/>
          <w:szCs w:val="24"/>
        </w:rPr>
        <w:t>then</w:t>
      </w:r>
      <w:r w:rsidR="005567BF" w:rsidRPr="00F80A39">
        <w:rPr>
          <w:rFonts w:ascii="Times New Roman" w:hAnsi="Times New Roman" w:cs="Times New Roman"/>
          <w:sz w:val="24"/>
          <w:szCs w:val="24"/>
        </w:rPr>
        <w:t xml:space="preserve"> the heating was stopped. </w:t>
      </w:r>
      <w:r w:rsidR="006B764D" w:rsidRPr="00F80A39">
        <w:rPr>
          <w:rFonts w:ascii="Times New Roman" w:hAnsi="Times New Roman" w:cs="Times New Roman"/>
          <w:sz w:val="24"/>
          <w:szCs w:val="24"/>
        </w:rPr>
        <w:t>During the regeneration, t</w:t>
      </w:r>
      <w:r w:rsidR="003741E6" w:rsidRPr="00F80A39">
        <w:rPr>
          <w:rFonts w:ascii="Times New Roman" w:hAnsi="Times New Roman" w:cs="Times New Roman"/>
          <w:sz w:val="24"/>
          <w:szCs w:val="24"/>
        </w:rPr>
        <w:t xml:space="preserve">he desorbed gas flowed to a downstream flask and was collected by water displacement. </w:t>
      </w:r>
      <w:r w:rsidR="006B764D" w:rsidRPr="00F80A39">
        <w:rPr>
          <w:rFonts w:ascii="Times New Roman" w:hAnsi="Times New Roman" w:cs="Times New Roman"/>
          <w:sz w:val="24"/>
          <w:szCs w:val="24"/>
        </w:rPr>
        <w:t>Microwave regeneration</w:t>
      </w:r>
      <w:r w:rsidR="006B764D" w:rsidRPr="00F80A39" w:rsidDel="006B764D">
        <w:rPr>
          <w:rFonts w:ascii="Times New Roman" w:hAnsi="Times New Roman" w:cs="Times New Roman"/>
          <w:sz w:val="24"/>
          <w:szCs w:val="24"/>
        </w:rPr>
        <w:t xml:space="preserve"> </w:t>
      </w:r>
      <w:r w:rsidR="003741E6" w:rsidRPr="00F80A39">
        <w:rPr>
          <w:rFonts w:ascii="Times New Roman" w:hAnsi="Times New Roman" w:cs="Times New Roman"/>
          <w:sz w:val="24"/>
          <w:szCs w:val="24"/>
        </w:rPr>
        <w:t xml:space="preserve">was continued until no gas </w:t>
      </w:r>
      <w:r w:rsidR="003741E6" w:rsidRPr="00F80A39">
        <w:rPr>
          <w:rFonts w:ascii="Times New Roman" w:hAnsi="Times New Roman" w:cs="Times New Roman"/>
          <w:sz w:val="24"/>
          <w:szCs w:val="24"/>
        </w:rPr>
        <w:lastRenderedPageBreak/>
        <w:t xml:space="preserve">evolution was observed. </w:t>
      </w:r>
      <w:r w:rsidR="00A37423" w:rsidRPr="00F80A39">
        <w:rPr>
          <w:rFonts w:ascii="Times New Roman" w:hAnsi="Times New Roman" w:cs="Times New Roman"/>
          <w:sz w:val="24"/>
          <w:szCs w:val="24"/>
        </w:rPr>
        <w:t>Then</w:t>
      </w:r>
      <w:r w:rsidR="006B764D" w:rsidRPr="00F80A39">
        <w:rPr>
          <w:rFonts w:ascii="Times New Roman" w:hAnsi="Times New Roman" w:cs="Times New Roman"/>
          <w:sz w:val="24"/>
          <w:szCs w:val="24"/>
        </w:rPr>
        <w:t>,</w:t>
      </w:r>
      <w:r w:rsidR="003741E6" w:rsidRPr="00F80A39">
        <w:rPr>
          <w:rFonts w:ascii="Times New Roman" w:hAnsi="Times New Roman" w:cs="Times New Roman"/>
          <w:sz w:val="24"/>
          <w:szCs w:val="24"/>
        </w:rPr>
        <w:t xml:space="preserve"> the adsorbent was cooled to room temperature by purging with nitrogen at 120 </w:t>
      </w:r>
      <w:r w:rsidR="00293523" w:rsidRPr="00F80A39">
        <w:rPr>
          <w:rFonts w:ascii="Times New Roman" w:hAnsi="Times New Roman" w:cs="Times New Roman"/>
          <w:sz w:val="24"/>
          <w:szCs w:val="24"/>
        </w:rPr>
        <w:t>sccm</w:t>
      </w:r>
      <w:r w:rsidR="003741E6" w:rsidRPr="00F80A39">
        <w:rPr>
          <w:rFonts w:ascii="Times New Roman" w:hAnsi="Times New Roman" w:cs="Times New Roman"/>
          <w:sz w:val="24"/>
          <w:szCs w:val="24"/>
        </w:rPr>
        <w:t xml:space="preserve">. </w:t>
      </w:r>
      <w:r w:rsidR="00297223" w:rsidRPr="00F80A39">
        <w:rPr>
          <w:rFonts w:ascii="Times New Roman" w:hAnsi="Times New Roman" w:cs="Times New Roman"/>
          <w:sz w:val="24"/>
          <w:szCs w:val="24"/>
        </w:rPr>
        <w:t xml:space="preserve">After </w:t>
      </w:r>
      <w:r w:rsidR="003741E6" w:rsidRPr="00F80A39">
        <w:rPr>
          <w:rFonts w:ascii="Times New Roman" w:hAnsi="Times New Roman" w:cs="Times New Roman"/>
          <w:sz w:val="24"/>
          <w:szCs w:val="24"/>
        </w:rPr>
        <w:t xml:space="preserve">the bed reached ambient temperature, further adsorption-microwave desorption cycles were initiated. A block diagram showing adsorption and </w:t>
      </w:r>
      <w:r w:rsidR="005567BF" w:rsidRPr="00F80A39">
        <w:rPr>
          <w:rFonts w:ascii="Times New Roman" w:hAnsi="Times New Roman" w:cs="Times New Roman"/>
          <w:sz w:val="24"/>
          <w:szCs w:val="24"/>
        </w:rPr>
        <w:t xml:space="preserve">constant power microwave </w:t>
      </w:r>
      <w:r w:rsidR="003741E6" w:rsidRPr="00F80A39">
        <w:rPr>
          <w:rFonts w:ascii="Times New Roman" w:hAnsi="Times New Roman" w:cs="Times New Roman"/>
          <w:sz w:val="24"/>
          <w:szCs w:val="24"/>
        </w:rPr>
        <w:t xml:space="preserve">regeneration is </w:t>
      </w:r>
      <w:r w:rsidR="00D61D69" w:rsidRPr="00F80A39">
        <w:rPr>
          <w:rFonts w:ascii="Times New Roman" w:hAnsi="Times New Roman" w:cs="Times New Roman"/>
          <w:sz w:val="24"/>
          <w:szCs w:val="24"/>
        </w:rPr>
        <w:t xml:space="preserve">presented in Figure </w:t>
      </w:r>
      <w:r w:rsidR="003741E6" w:rsidRPr="00F80A39">
        <w:rPr>
          <w:rFonts w:ascii="Times New Roman" w:hAnsi="Times New Roman" w:cs="Times New Roman"/>
          <w:sz w:val="24"/>
          <w:szCs w:val="24"/>
        </w:rPr>
        <w:t>2.</w:t>
      </w:r>
    </w:p>
    <w:p w14:paraId="315E9D9E" w14:textId="77777777" w:rsidR="003741E6" w:rsidRPr="003070D0"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For water desorption, the swing capacity of Na-ETS-10 is defined as the amount of gas desorbed during water injection. For microwave regeneration, the swing capacity is defined as the amount of gas desorbed during microwave heating. Gas recovery was calculated based on equation</w:t>
      </w:r>
      <w:r w:rsidR="00D61D69" w:rsidRPr="00F80A39">
        <w:rPr>
          <w:rFonts w:ascii="Times New Roman" w:hAnsi="Times New Roman" w:cs="Times New Roman"/>
          <w:sz w:val="24"/>
          <w:szCs w:val="24"/>
        </w:rPr>
        <w:t xml:space="preserve"> 1</w:t>
      </w:r>
      <w:r w:rsidRPr="00F80A39">
        <w:rPr>
          <w:rFonts w:ascii="Times New Roman" w:hAnsi="Times New Roman" w:cs="Times New Roman"/>
          <w:sz w:val="24"/>
          <w:szCs w:val="24"/>
        </w:rPr>
        <w:t>:</w:t>
      </w:r>
    </w:p>
    <w:p w14:paraId="15D1732B" w14:textId="77777777" w:rsidR="00A420D3" w:rsidRPr="004B5246" w:rsidRDefault="00A420D3" w:rsidP="00BE1B0C">
      <w:pPr>
        <w:spacing w:line="480" w:lineRule="auto"/>
        <w:jc w:val="center"/>
        <w:rPr>
          <w:rFonts w:ascii="Times New Roman" w:hAnsi="Times New Roman" w:cs="Times New Roman"/>
          <w:sz w:val="24"/>
          <w:szCs w:val="24"/>
        </w:rPr>
      </w:pPr>
      <w:r>
        <w:rPr>
          <w:rFonts w:ascii="Times New Roman" w:hAnsi="Times New Roman" w:cs="Times New Roman"/>
          <w:sz w:val="24"/>
          <w:szCs w:val="24"/>
        </w:rPr>
        <w:t>Gas recovery (%) = (V</w:t>
      </w:r>
      <w:r w:rsidRPr="000A6772">
        <w:rPr>
          <w:rFonts w:ascii="Times New Roman" w:hAnsi="Times New Roman" w:cs="Times New Roman"/>
          <w:sz w:val="24"/>
          <w:szCs w:val="24"/>
          <w:vertAlign w:val="subscript"/>
        </w:rPr>
        <w:t>W/M</w:t>
      </w:r>
      <w:r>
        <w:rPr>
          <w:rFonts w:ascii="Times New Roman" w:hAnsi="Times New Roman" w:cs="Times New Roman"/>
          <w:sz w:val="24"/>
          <w:szCs w:val="24"/>
        </w:rPr>
        <w:t>/V</w:t>
      </w:r>
      <w:r w:rsidRPr="000A6772">
        <w:rPr>
          <w:rFonts w:ascii="Times New Roman" w:hAnsi="Times New Roman" w:cs="Times New Roman"/>
          <w:sz w:val="24"/>
          <w:szCs w:val="24"/>
          <w:vertAlign w:val="subscript"/>
        </w:rPr>
        <w:t>W</w:t>
      </w:r>
      <w:r>
        <w:rPr>
          <w:rFonts w:ascii="Times New Roman" w:hAnsi="Times New Roman" w:cs="Times New Roman"/>
          <w:sz w:val="24"/>
          <w:szCs w:val="24"/>
        </w:rPr>
        <w:t xml:space="preserve"> ) x100 ..……….. (</w:t>
      </w:r>
      <w:r w:rsidRPr="004B5246">
        <w:rPr>
          <w:rFonts w:ascii="Times New Roman" w:hAnsi="Times New Roman" w:cs="Times New Roman"/>
          <w:sz w:val="24"/>
          <w:szCs w:val="24"/>
        </w:rPr>
        <w:t>1)</w:t>
      </w:r>
    </w:p>
    <w:p w14:paraId="1F3BF803" w14:textId="77777777" w:rsidR="003741E6" w:rsidRDefault="003741E6" w:rsidP="00BE1B0C">
      <w:pPr>
        <w:spacing w:line="480" w:lineRule="auto"/>
        <w:rPr>
          <w:rFonts w:ascii="Times New Roman" w:hAnsi="Times New Roman" w:cs="Times New Roman"/>
          <w:sz w:val="24"/>
          <w:szCs w:val="24"/>
        </w:rPr>
      </w:pPr>
      <w:r>
        <w:rPr>
          <w:rFonts w:ascii="Times New Roman" w:hAnsi="Times New Roman" w:cs="Times New Roman"/>
          <w:sz w:val="24"/>
          <w:szCs w:val="24"/>
        </w:rPr>
        <w:t>w</w:t>
      </w:r>
      <w:r w:rsidRPr="004B5246">
        <w:rPr>
          <w:rFonts w:ascii="Times New Roman" w:hAnsi="Times New Roman" w:cs="Times New Roman"/>
          <w:sz w:val="24"/>
          <w:szCs w:val="24"/>
        </w:rPr>
        <w:t xml:space="preserve">here, </w:t>
      </w:r>
      <w:r w:rsidR="00A420D3">
        <w:rPr>
          <w:rFonts w:ascii="Times New Roman" w:hAnsi="Times New Roman" w:cs="Times New Roman"/>
          <w:sz w:val="24"/>
          <w:szCs w:val="24"/>
        </w:rPr>
        <w:t>V</w:t>
      </w:r>
      <w:r w:rsidR="00A420D3" w:rsidRPr="002D68C3">
        <w:rPr>
          <w:rFonts w:ascii="Times New Roman" w:hAnsi="Times New Roman" w:cs="Times New Roman"/>
          <w:sz w:val="24"/>
          <w:szCs w:val="24"/>
          <w:vertAlign w:val="subscript"/>
        </w:rPr>
        <w:t>W/M</w:t>
      </w:r>
      <w:r w:rsidR="00A420D3">
        <w:rPr>
          <w:rFonts w:ascii="Times New Roman" w:hAnsi="Times New Roman" w:cs="Times New Roman"/>
          <w:sz w:val="24"/>
          <w:szCs w:val="24"/>
        </w:rPr>
        <w:t xml:space="preserve"> </w:t>
      </w:r>
      <w:r w:rsidRPr="004B5246">
        <w:rPr>
          <w:rFonts w:ascii="Times New Roman" w:hAnsi="Times New Roman" w:cs="Times New Roman"/>
          <w:sz w:val="24"/>
          <w:szCs w:val="24"/>
        </w:rPr>
        <w:t>= volume of gas desorbed by water desorption (W) or microwave (M) heating</w:t>
      </w:r>
      <w:r>
        <w:rPr>
          <w:rFonts w:ascii="Times New Roman" w:hAnsi="Times New Roman" w:cs="Times New Roman"/>
          <w:sz w:val="24"/>
          <w:szCs w:val="24"/>
        </w:rPr>
        <w:t>,</w:t>
      </w:r>
      <w:r w:rsidRPr="004B5246">
        <w:rPr>
          <w:rFonts w:ascii="Times New Roman" w:hAnsi="Times New Roman" w:cs="Times New Roman"/>
          <w:sz w:val="24"/>
          <w:szCs w:val="24"/>
        </w:rPr>
        <w:t xml:space="preserve"> and </w:t>
      </w:r>
      <w:r w:rsidR="00A420D3">
        <w:rPr>
          <w:rFonts w:ascii="Times New Roman" w:hAnsi="Times New Roman" w:cs="Times New Roman"/>
          <w:sz w:val="24"/>
          <w:szCs w:val="24"/>
        </w:rPr>
        <w:t>V</w:t>
      </w:r>
      <w:r w:rsidR="00A420D3" w:rsidRPr="002D68C3">
        <w:rPr>
          <w:rFonts w:ascii="Times New Roman" w:hAnsi="Times New Roman" w:cs="Times New Roman"/>
          <w:sz w:val="24"/>
          <w:szCs w:val="24"/>
          <w:vertAlign w:val="subscript"/>
        </w:rPr>
        <w:t>W</w:t>
      </w:r>
      <w:r w:rsidRPr="004B5246">
        <w:rPr>
          <w:rFonts w:ascii="Times New Roman" w:hAnsi="Times New Roman" w:cs="Times New Roman"/>
          <w:sz w:val="24"/>
          <w:szCs w:val="24"/>
        </w:rPr>
        <w:t xml:space="preserve">= the volume of gas desorbed by water desorption from </w:t>
      </w:r>
      <w:r>
        <w:rPr>
          <w:rFonts w:ascii="Times New Roman" w:hAnsi="Times New Roman" w:cs="Times New Roman"/>
          <w:sz w:val="24"/>
          <w:szCs w:val="24"/>
        </w:rPr>
        <w:t xml:space="preserve">the </w:t>
      </w:r>
      <w:r w:rsidRPr="004B5246">
        <w:rPr>
          <w:rFonts w:ascii="Times New Roman" w:hAnsi="Times New Roman" w:cs="Times New Roman"/>
          <w:sz w:val="24"/>
          <w:szCs w:val="24"/>
        </w:rPr>
        <w:t>fresh adsorbent.</w:t>
      </w:r>
      <w:r>
        <w:rPr>
          <w:rFonts w:ascii="Times New Roman" w:hAnsi="Times New Roman" w:cs="Times New Roman"/>
          <w:sz w:val="24"/>
          <w:szCs w:val="24"/>
        </w:rPr>
        <w:br w:type="page"/>
      </w:r>
    </w:p>
    <w:p w14:paraId="5AA65831" w14:textId="77777777" w:rsidR="003741E6" w:rsidRDefault="003741E6" w:rsidP="00BE1B0C">
      <w:pPr>
        <w:spacing w:line="480" w:lineRule="auto"/>
        <w:rPr>
          <w:rFonts w:ascii="Times New Roman" w:hAnsi="Times New Roman" w:cs="Times New Roman"/>
          <w:sz w:val="24"/>
          <w:szCs w:val="24"/>
        </w:rPr>
        <w:sectPr w:rsidR="003741E6" w:rsidSect="00BE1B0C">
          <w:footerReference w:type="default" r:id="rId8"/>
          <w:pgSz w:w="12240" w:h="15840" w:code="1"/>
          <w:pgMar w:top="1440" w:right="1440" w:bottom="1440" w:left="1440" w:header="706" w:footer="706" w:gutter="0"/>
          <w:cols w:space="708"/>
          <w:docGrid w:linePitch="360"/>
        </w:sectPr>
      </w:pPr>
    </w:p>
    <w:p w14:paraId="3A92261E" w14:textId="77777777" w:rsidR="0080552B" w:rsidRDefault="0080552B" w:rsidP="0080552B">
      <w:pPr>
        <w:jc w:val="center"/>
      </w:pPr>
      <w:bookmarkStart w:id="3" w:name="_Toc321837705"/>
      <w:r w:rsidRPr="0080552B">
        <w:rPr>
          <w:noProof/>
          <w:lang w:val="en-US" w:eastAsia="en-US"/>
        </w:rPr>
        <w:lastRenderedPageBreak/>
        <w:drawing>
          <wp:inline distT="0" distB="0" distL="0" distR="0" wp14:anchorId="18A709C5" wp14:editId="5B2E921F">
            <wp:extent cx="7585710" cy="4190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5710" cy="4190365"/>
                    </a:xfrm>
                    <a:prstGeom prst="rect">
                      <a:avLst/>
                    </a:prstGeom>
                    <a:noFill/>
                    <a:ln>
                      <a:noFill/>
                    </a:ln>
                  </pic:spPr>
                </pic:pic>
              </a:graphicData>
            </a:graphic>
          </wp:inline>
        </w:drawing>
      </w:r>
    </w:p>
    <w:p w14:paraId="13CD3055" w14:textId="77777777" w:rsidR="003741E6" w:rsidRPr="00B97BF7" w:rsidRDefault="00D61D69" w:rsidP="0080552B">
      <w:pPr>
        <w:pStyle w:val="Caption"/>
        <w:jc w:val="center"/>
        <w:rPr>
          <w:rFonts w:ascii="Times New Roman" w:hAnsi="Times New Roman" w:cs="Times New Roman"/>
          <w:color w:val="000000" w:themeColor="text1"/>
          <w:sz w:val="24"/>
          <w:szCs w:val="24"/>
        </w:rPr>
        <w:sectPr w:rsidR="003741E6" w:rsidRPr="00B97BF7" w:rsidSect="00727B4C">
          <w:pgSz w:w="15840" w:h="12240" w:orient="landscape" w:code="1"/>
          <w:pgMar w:top="2160" w:right="1440" w:bottom="2160" w:left="1440" w:header="709" w:footer="709" w:gutter="0"/>
          <w:cols w:space="708"/>
          <w:docGrid w:linePitch="360"/>
        </w:sectPr>
      </w:pPr>
      <w:r>
        <w:rPr>
          <w:rFonts w:ascii="Times New Roman" w:hAnsi="Times New Roman" w:cs="Times New Roman"/>
          <w:color w:val="000000" w:themeColor="text1"/>
          <w:sz w:val="24"/>
          <w:szCs w:val="24"/>
        </w:rPr>
        <w:t>Figure</w:t>
      </w:r>
      <w:r w:rsidR="003741E6" w:rsidRPr="00B97BF7">
        <w:rPr>
          <w:rFonts w:ascii="Times New Roman" w:hAnsi="Times New Roman" w:cs="Times New Roman"/>
          <w:color w:val="000000" w:themeColor="text1"/>
          <w:sz w:val="24"/>
          <w:szCs w:val="24"/>
        </w:rPr>
        <w:t xml:space="preserve"> </w:t>
      </w:r>
      <w:r w:rsidR="00AF1B59" w:rsidRPr="00B97BF7">
        <w:rPr>
          <w:rFonts w:ascii="Times New Roman" w:hAnsi="Times New Roman" w:cs="Times New Roman"/>
          <w:color w:val="000000" w:themeColor="text1"/>
          <w:sz w:val="24"/>
          <w:szCs w:val="24"/>
        </w:rPr>
        <w:fldChar w:fldCharType="begin"/>
      </w:r>
      <w:r w:rsidR="003741E6" w:rsidRPr="00B97BF7">
        <w:rPr>
          <w:rFonts w:ascii="Times New Roman" w:hAnsi="Times New Roman" w:cs="Times New Roman"/>
          <w:color w:val="000000" w:themeColor="text1"/>
          <w:sz w:val="24"/>
          <w:szCs w:val="24"/>
        </w:rPr>
        <w:instrText xml:space="preserve"> SEQ Figure_4- \* ARABIC </w:instrText>
      </w:r>
      <w:r w:rsidR="00AF1B59" w:rsidRPr="00B97BF7">
        <w:rPr>
          <w:rFonts w:ascii="Times New Roman" w:hAnsi="Times New Roman" w:cs="Times New Roman"/>
          <w:color w:val="000000" w:themeColor="text1"/>
          <w:sz w:val="24"/>
          <w:szCs w:val="24"/>
        </w:rPr>
        <w:fldChar w:fldCharType="separate"/>
      </w:r>
      <w:r w:rsidR="00357FB2">
        <w:rPr>
          <w:rFonts w:ascii="Times New Roman" w:hAnsi="Times New Roman" w:cs="Times New Roman"/>
          <w:noProof/>
          <w:color w:val="000000" w:themeColor="text1"/>
          <w:sz w:val="24"/>
          <w:szCs w:val="24"/>
        </w:rPr>
        <w:t>1</w:t>
      </w:r>
      <w:r w:rsidR="00AF1B59" w:rsidRPr="00B97BF7">
        <w:rPr>
          <w:rFonts w:ascii="Times New Roman" w:hAnsi="Times New Roman" w:cs="Times New Roman"/>
          <w:color w:val="000000" w:themeColor="text1"/>
          <w:sz w:val="24"/>
          <w:szCs w:val="24"/>
        </w:rPr>
        <w:fldChar w:fldCharType="end"/>
      </w:r>
      <w:r w:rsidR="003741E6" w:rsidRPr="00B97BF7">
        <w:rPr>
          <w:rFonts w:ascii="Times New Roman" w:hAnsi="Times New Roman" w:cs="Times New Roman"/>
          <w:color w:val="000000" w:themeColor="text1"/>
          <w:sz w:val="24"/>
          <w:szCs w:val="24"/>
        </w:rPr>
        <w:t xml:space="preserve">: Block diagram showing adsorption and </w:t>
      </w:r>
      <w:r w:rsidR="00A37423">
        <w:rPr>
          <w:rFonts w:ascii="Times New Roman" w:hAnsi="Times New Roman" w:cs="Times New Roman"/>
          <w:color w:val="000000" w:themeColor="text1"/>
          <w:sz w:val="24"/>
          <w:szCs w:val="24"/>
        </w:rPr>
        <w:t xml:space="preserve">indirect microwave </w:t>
      </w:r>
      <w:r w:rsidR="003741E6" w:rsidRPr="00B97BF7">
        <w:rPr>
          <w:rFonts w:ascii="Times New Roman" w:hAnsi="Times New Roman" w:cs="Times New Roman"/>
          <w:color w:val="000000" w:themeColor="text1"/>
          <w:sz w:val="24"/>
          <w:szCs w:val="24"/>
        </w:rPr>
        <w:t xml:space="preserve">regeneration of Na-ETS-10 </w:t>
      </w:r>
      <w:bookmarkEnd w:id="3"/>
    </w:p>
    <w:p w14:paraId="41C3E1C7" w14:textId="77777777" w:rsidR="0080552B" w:rsidRDefault="00F80A39" w:rsidP="0080552B">
      <w:pPr>
        <w:jc w:val="center"/>
      </w:pPr>
      <w:bookmarkStart w:id="4" w:name="_Toc321837706"/>
      <w:r>
        <w:rPr>
          <w:noProof/>
        </w:rPr>
        <w:lastRenderedPageBreak/>
        <w:pict w14:anchorId="24A89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36pt;width:541.15pt;height:372.25pt;z-index:251661312">
            <v:imagedata r:id="rId10" o:title=""/>
            <w10:wrap type="topAndBottom"/>
          </v:shape>
          <o:OLEObject Type="Embed" ProgID="Visio.Drawing.11" ShapeID="_x0000_s1026" DrawAspect="Content" ObjectID="_1297163021" r:id="rId11"/>
        </w:pict>
      </w:r>
    </w:p>
    <w:p w14:paraId="12B97247" w14:textId="77777777" w:rsidR="003741E6" w:rsidRPr="003070D0" w:rsidRDefault="003741E6" w:rsidP="0080552B">
      <w:pPr>
        <w:pStyle w:val="Caption"/>
        <w:jc w:val="center"/>
        <w:rPr>
          <w:rFonts w:ascii="Times New Roman" w:eastAsiaTheme="majorEastAsia" w:hAnsi="Times New Roman" w:cs="Times New Roman"/>
          <w:b w:val="0"/>
          <w:bCs w:val="0"/>
          <w:color w:val="000000" w:themeColor="text1"/>
          <w:sz w:val="24"/>
          <w:szCs w:val="24"/>
        </w:rPr>
      </w:pPr>
      <w:r w:rsidRPr="003070D0">
        <w:rPr>
          <w:rFonts w:ascii="Times New Roman" w:hAnsi="Times New Roman" w:cs="Times New Roman"/>
          <w:color w:val="000000" w:themeColor="text1"/>
          <w:sz w:val="24"/>
          <w:szCs w:val="24"/>
        </w:rPr>
        <w:t>Figure</w:t>
      </w:r>
      <w:r w:rsidR="00D61D69">
        <w:rPr>
          <w:rFonts w:ascii="Times New Roman" w:hAnsi="Times New Roman" w:cs="Times New Roman"/>
          <w:color w:val="000000" w:themeColor="text1"/>
          <w:sz w:val="24"/>
          <w:szCs w:val="24"/>
        </w:rPr>
        <w:t xml:space="preserve"> </w:t>
      </w:r>
      <w:r w:rsidR="00AF1B59" w:rsidRPr="003070D0">
        <w:rPr>
          <w:rFonts w:ascii="Times New Roman" w:hAnsi="Times New Roman" w:cs="Times New Roman"/>
          <w:color w:val="000000" w:themeColor="text1"/>
          <w:sz w:val="24"/>
          <w:szCs w:val="24"/>
        </w:rPr>
        <w:fldChar w:fldCharType="begin"/>
      </w:r>
      <w:r w:rsidRPr="003070D0">
        <w:rPr>
          <w:rFonts w:ascii="Times New Roman" w:hAnsi="Times New Roman" w:cs="Times New Roman"/>
          <w:color w:val="000000" w:themeColor="text1"/>
          <w:sz w:val="24"/>
          <w:szCs w:val="24"/>
        </w:rPr>
        <w:instrText xml:space="preserve"> SEQ Figure_4- \* ARABIC </w:instrText>
      </w:r>
      <w:r w:rsidR="00AF1B59" w:rsidRPr="003070D0">
        <w:rPr>
          <w:rFonts w:ascii="Times New Roman" w:hAnsi="Times New Roman" w:cs="Times New Roman"/>
          <w:color w:val="000000" w:themeColor="text1"/>
          <w:sz w:val="24"/>
          <w:szCs w:val="24"/>
        </w:rPr>
        <w:fldChar w:fldCharType="separate"/>
      </w:r>
      <w:r w:rsidR="00357FB2">
        <w:rPr>
          <w:rFonts w:ascii="Times New Roman" w:hAnsi="Times New Roman" w:cs="Times New Roman"/>
          <w:noProof/>
          <w:color w:val="000000" w:themeColor="text1"/>
          <w:sz w:val="24"/>
          <w:szCs w:val="24"/>
        </w:rPr>
        <w:t>2</w:t>
      </w:r>
      <w:r w:rsidR="00AF1B59" w:rsidRPr="003070D0">
        <w:rPr>
          <w:rFonts w:ascii="Times New Roman" w:hAnsi="Times New Roman" w:cs="Times New Roman"/>
          <w:color w:val="000000" w:themeColor="text1"/>
          <w:sz w:val="24"/>
          <w:szCs w:val="24"/>
        </w:rPr>
        <w:fldChar w:fldCharType="end"/>
      </w:r>
      <w:r w:rsidRPr="003070D0">
        <w:rPr>
          <w:rFonts w:ascii="Times New Roman" w:hAnsi="Times New Roman" w:cs="Times New Roman"/>
          <w:color w:val="000000" w:themeColor="text1"/>
          <w:sz w:val="24"/>
          <w:szCs w:val="24"/>
        </w:rPr>
        <w:t xml:space="preserve">: Block diagram showing adsorption and </w:t>
      </w:r>
      <w:r w:rsidR="003C0039">
        <w:rPr>
          <w:rFonts w:ascii="Times New Roman" w:hAnsi="Times New Roman" w:cs="Times New Roman"/>
          <w:color w:val="000000" w:themeColor="text1"/>
          <w:sz w:val="24"/>
          <w:szCs w:val="24"/>
        </w:rPr>
        <w:t xml:space="preserve">direct </w:t>
      </w:r>
      <w:r w:rsidR="003C0039" w:rsidRPr="003C0039">
        <w:rPr>
          <w:rFonts w:ascii="Times New Roman" w:hAnsi="Times New Roman" w:cs="Times New Roman"/>
          <w:color w:val="000000" w:themeColor="text1"/>
          <w:sz w:val="24"/>
          <w:szCs w:val="24"/>
        </w:rPr>
        <w:t xml:space="preserve">microwave </w:t>
      </w:r>
      <w:r w:rsidRPr="003070D0">
        <w:rPr>
          <w:rFonts w:ascii="Times New Roman" w:hAnsi="Times New Roman" w:cs="Times New Roman"/>
          <w:color w:val="000000" w:themeColor="text1"/>
          <w:sz w:val="24"/>
          <w:szCs w:val="24"/>
        </w:rPr>
        <w:t>regeneration of Na-ETS-10</w:t>
      </w:r>
      <w:bookmarkEnd w:id="4"/>
      <w:r w:rsidRPr="003070D0">
        <w:rPr>
          <w:rFonts w:ascii="Times New Roman" w:hAnsi="Times New Roman" w:cs="Times New Roman"/>
          <w:color w:val="000000" w:themeColor="text1"/>
          <w:sz w:val="24"/>
          <w:szCs w:val="24"/>
        </w:rPr>
        <w:br w:type="page"/>
      </w:r>
    </w:p>
    <w:p w14:paraId="6F61BF3E" w14:textId="77777777" w:rsidR="003741E6" w:rsidRDefault="003741E6" w:rsidP="00B84DF3">
      <w:pPr>
        <w:pStyle w:val="Heading1"/>
        <w:spacing w:line="240" w:lineRule="auto"/>
        <w:rPr>
          <w:rFonts w:cs="Times New Roman"/>
          <w:color w:val="000000" w:themeColor="text1"/>
          <w:sz w:val="24"/>
          <w:szCs w:val="24"/>
        </w:rPr>
        <w:sectPr w:rsidR="003741E6" w:rsidSect="00727B4C">
          <w:pgSz w:w="15840" w:h="12240" w:orient="landscape" w:code="1"/>
          <w:pgMar w:top="2160" w:right="1440" w:bottom="2160" w:left="1440" w:header="709" w:footer="709" w:gutter="0"/>
          <w:cols w:space="708"/>
          <w:docGrid w:linePitch="360"/>
        </w:sectPr>
      </w:pPr>
    </w:p>
    <w:p w14:paraId="13F2A93C" w14:textId="77777777" w:rsidR="003741E6" w:rsidRPr="003070D0" w:rsidRDefault="003741E6" w:rsidP="00BE1B0C">
      <w:pPr>
        <w:pStyle w:val="Heading2"/>
      </w:pPr>
      <w:bookmarkStart w:id="5" w:name="_Toc320568477"/>
      <w:r w:rsidRPr="003070D0">
        <w:lastRenderedPageBreak/>
        <w:t>3</w:t>
      </w:r>
      <w:r w:rsidR="00CB7048">
        <w:t>.</w:t>
      </w:r>
      <w:r w:rsidRPr="003070D0">
        <w:t xml:space="preserve"> Results and Discussion</w:t>
      </w:r>
      <w:bookmarkEnd w:id="5"/>
    </w:p>
    <w:p w14:paraId="5F531213" w14:textId="77777777" w:rsidR="003741E6" w:rsidRPr="003070D0" w:rsidRDefault="003741E6" w:rsidP="00BE1B0C">
      <w:pPr>
        <w:pStyle w:val="Heading3"/>
      </w:pPr>
      <w:bookmarkStart w:id="6" w:name="_Toc320568478"/>
      <w:r w:rsidRPr="003070D0">
        <w:t xml:space="preserve">3.1 </w:t>
      </w:r>
      <w:r w:rsidR="00A37423">
        <w:t>Indirect</w:t>
      </w:r>
      <w:r w:rsidR="005567BF">
        <w:t xml:space="preserve"> </w:t>
      </w:r>
      <w:r w:rsidRPr="003070D0">
        <w:t xml:space="preserve">microwave </w:t>
      </w:r>
      <w:bookmarkEnd w:id="6"/>
      <w:r w:rsidR="005567BF">
        <w:t>regeneration</w:t>
      </w:r>
    </w:p>
    <w:p w14:paraId="10E95459" w14:textId="77777777" w:rsidR="003741E6" w:rsidRPr="003070D0" w:rsidRDefault="003741E6" w:rsidP="00BE1B0C">
      <w:pPr>
        <w:spacing w:line="480" w:lineRule="auto"/>
        <w:rPr>
          <w:rFonts w:ascii="Times New Roman" w:hAnsi="Times New Roman" w:cs="Times New Roman"/>
        </w:rPr>
      </w:pPr>
    </w:p>
    <w:p w14:paraId="62558DF5" w14:textId="085EB670" w:rsidR="003741E6" w:rsidRPr="00F80A39" w:rsidRDefault="004F5FF0" w:rsidP="00C91305">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Water desorption achieves complete (100 %) desorption through mass action displacement (Shi et al., 2010) within 7-8 minutes. </w:t>
      </w:r>
      <w:r w:rsidR="003741E6" w:rsidRPr="00F80A39">
        <w:rPr>
          <w:rFonts w:ascii="Times New Roman" w:hAnsi="Times New Roman" w:cs="Times New Roman"/>
          <w:sz w:val="24"/>
          <w:szCs w:val="24"/>
        </w:rPr>
        <w:t>A total of 410 ml gas was collected from approximately 10g of Na-ETS-10. Based on the GC-TCD analysis, the desorbed gas contained 89% CO</w:t>
      </w:r>
      <w:r w:rsidR="003741E6" w:rsidRPr="00F80A39">
        <w:rPr>
          <w:rFonts w:ascii="Times New Roman" w:hAnsi="Times New Roman" w:cs="Times New Roman"/>
          <w:sz w:val="24"/>
          <w:szCs w:val="24"/>
          <w:vertAlign w:val="subscript"/>
        </w:rPr>
        <w:t>2</w:t>
      </w:r>
      <w:r w:rsidR="003741E6" w:rsidRPr="00F80A39">
        <w:rPr>
          <w:rFonts w:ascii="Times New Roman" w:hAnsi="Times New Roman" w:cs="Times New Roman"/>
          <w:sz w:val="24"/>
          <w:szCs w:val="24"/>
        </w:rPr>
        <w:t xml:space="preserve"> and 11% CH</w:t>
      </w:r>
      <w:r w:rsidR="003741E6" w:rsidRPr="00F80A39">
        <w:rPr>
          <w:rFonts w:ascii="Times New Roman" w:hAnsi="Times New Roman" w:cs="Times New Roman"/>
          <w:sz w:val="24"/>
          <w:szCs w:val="24"/>
          <w:vertAlign w:val="subscript"/>
        </w:rPr>
        <w:t>4</w:t>
      </w:r>
      <w:r w:rsidR="003741E6" w:rsidRPr="00F80A39">
        <w:rPr>
          <w:rFonts w:ascii="Times New Roman" w:hAnsi="Times New Roman" w:cs="Times New Roman"/>
          <w:sz w:val="24"/>
          <w:szCs w:val="24"/>
        </w:rPr>
        <w:t>. Later, the wet Na-ETS-10 was dried by using microwave</w:t>
      </w:r>
      <w:r w:rsidR="003C0039" w:rsidRPr="00F80A39">
        <w:rPr>
          <w:rFonts w:ascii="Times New Roman" w:hAnsi="Times New Roman" w:cs="Times New Roman"/>
          <w:sz w:val="24"/>
          <w:szCs w:val="24"/>
        </w:rPr>
        <w:t xml:space="preserve"> heating</w:t>
      </w:r>
      <w:r w:rsidR="003741E6" w:rsidRPr="00F80A39">
        <w:rPr>
          <w:rFonts w:ascii="Times New Roman" w:hAnsi="Times New Roman" w:cs="Times New Roman"/>
          <w:sz w:val="24"/>
          <w:szCs w:val="24"/>
        </w:rPr>
        <w:t xml:space="preserve">. </w:t>
      </w:r>
    </w:p>
    <w:p w14:paraId="0733CF9E" w14:textId="42CC5C9D"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The wet Na-ETS-10 </w:t>
      </w:r>
      <w:r w:rsidR="00995921" w:rsidRPr="00F80A39">
        <w:rPr>
          <w:rFonts w:ascii="Times New Roman" w:hAnsi="Times New Roman" w:cs="Times New Roman"/>
          <w:sz w:val="24"/>
          <w:szCs w:val="24"/>
        </w:rPr>
        <w:t xml:space="preserve">was dried by microwave heating </w:t>
      </w:r>
      <w:r w:rsidRPr="00F80A39">
        <w:rPr>
          <w:rFonts w:ascii="Times New Roman" w:hAnsi="Times New Roman" w:cs="Times New Roman"/>
          <w:sz w:val="24"/>
          <w:szCs w:val="24"/>
        </w:rPr>
        <w:t>for 20 minutes at 190°C. A total of 2</w:t>
      </w:r>
      <w:r w:rsidR="003C0039" w:rsidRPr="00F80A39">
        <w:rPr>
          <w:rFonts w:ascii="Times New Roman" w:hAnsi="Times New Roman" w:cs="Times New Roman"/>
          <w:sz w:val="24"/>
          <w:szCs w:val="24"/>
        </w:rPr>
        <w:t>,</w:t>
      </w:r>
      <w:r w:rsidRPr="00F80A39">
        <w:rPr>
          <w:rFonts w:ascii="Times New Roman" w:hAnsi="Times New Roman" w:cs="Times New Roman"/>
          <w:sz w:val="24"/>
          <w:szCs w:val="24"/>
        </w:rPr>
        <w:t xml:space="preserve">294 J microwave energy was consumed </w:t>
      </w:r>
      <w:r w:rsidR="003C0039" w:rsidRPr="00F80A39">
        <w:rPr>
          <w:rFonts w:ascii="Times New Roman" w:hAnsi="Times New Roman" w:cs="Times New Roman"/>
          <w:sz w:val="24"/>
          <w:szCs w:val="24"/>
        </w:rPr>
        <w:t xml:space="preserve">per </w:t>
      </w:r>
      <w:r w:rsidRPr="00F80A39">
        <w:rPr>
          <w:rFonts w:ascii="Times New Roman" w:hAnsi="Times New Roman" w:cs="Times New Roman"/>
          <w:sz w:val="24"/>
          <w:szCs w:val="24"/>
        </w:rPr>
        <w:t>gram of Na-ETS-10 and 20% of the adsorption capacity</w:t>
      </w:r>
      <w:r w:rsidR="00995921" w:rsidRPr="00F80A39">
        <w:rPr>
          <w:rFonts w:ascii="Times New Roman" w:hAnsi="Times New Roman" w:cs="Times New Roman"/>
          <w:sz w:val="24"/>
          <w:szCs w:val="24"/>
        </w:rPr>
        <w:t xml:space="preserve"> was restored</w:t>
      </w:r>
      <w:r w:rsidRPr="00F80A39">
        <w:rPr>
          <w:rFonts w:ascii="Times New Roman" w:hAnsi="Times New Roman" w:cs="Times New Roman"/>
          <w:sz w:val="24"/>
          <w:szCs w:val="24"/>
        </w:rPr>
        <w:t>. Microwave drying restored 20% of the gas adsorption capacity. Under th</w:t>
      </w:r>
      <w:r w:rsidR="00AD0B84" w:rsidRPr="00F80A39">
        <w:rPr>
          <w:rFonts w:ascii="Times New Roman" w:hAnsi="Times New Roman" w:cs="Times New Roman"/>
          <w:sz w:val="24"/>
          <w:szCs w:val="24"/>
        </w:rPr>
        <w:t>ese</w:t>
      </w:r>
      <w:r w:rsidRPr="00F80A39">
        <w:rPr>
          <w:rFonts w:ascii="Times New Roman" w:hAnsi="Times New Roman" w:cs="Times New Roman"/>
          <w:sz w:val="24"/>
          <w:szCs w:val="24"/>
        </w:rPr>
        <w:t xml:space="preserve"> operating condition</w:t>
      </w:r>
      <w:r w:rsidR="00AD0B84" w:rsidRPr="00F80A39">
        <w:rPr>
          <w:rFonts w:ascii="Times New Roman" w:hAnsi="Times New Roman" w:cs="Times New Roman"/>
          <w:sz w:val="24"/>
          <w:szCs w:val="24"/>
        </w:rPr>
        <w:t>s</w:t>
      </w:r>
      <w:r w:rsidRPr="00F80A39">
        <w:rPr>
          <w:rFonts w:ascii="Times New Roman" w:hAnsi="Times New Roman" w:cs="Times New Roman"/>
          <w:sz w:val="24"/>
          <w:szCs w:val="24"/>
        </w:rPr>
        <w:t xml:space="preserve">, further drying required more energy and heating-time. Based on the </w:t>
      </w:r>
      <w:r w:rsidR="00E84F32" w:rsidRPr="00F80A39">
        <w:rPr>
          <w:rFonts w:ascii="Times New Roman" w:hAnsi="Times New Roman" w:cs="Times New Roman"/>
          <w:sz w:val="24"/>
          <w:szCs w:val="24"/>
        </w:rPr>
        <w:t xml:space="preserve">amount of recovered </w:t>
      </w:r>
      <w:r w:rsidRPr="00F80A39">
        <w:rPr>
          <w:rFonts w:ascii="Times New Roman" w:hAnsi="Times New Roman" w:cs="Times New Roman"/>
          <w:sz w:val="24"/>
          <w:szCs w:val="24"/>
        </w:rPr>
        <w:t>gas, the swing capacity of Na-ETS-10 during water desorption was 1.58 mmol/g.</w:t>
      </w:r>
    </w:p>
    <w:p w14:paraId="69B08B2E" w14:textId="74F5B5E0" w:rsidR="003741E6" w:rsidRDefault="00075DDF"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T</w:t>
      </w:r>
      <w:r w:rsidR="003741E6" w:rsidRPr="00F80A39">
        <w:rPr>
          <w:rFonts w:ascii="Times New Roman" w:hAnsi="Times New Roman" w:cs="Times New Roman"/>
          <w:sz w:val="24"/>
          <w:szCs w:val="24"/>
        </w:rPr>
        <w:t>ypical temperature and power profile</w:t>
      </w:r>
      <w:r w:rsidRPr="00F80A39">
        <w:rPr>
          <w:rFonts w:ascii="Times New Roman" w:hAnsi="Times New Roman" w:cs="Times New Roman"/>
          <w:sz w:val="24"/>
          <w:szCs w:val="24"/>
        </w:rPr>
        <w:t>s</w:t>
      </w:r>
      <w:r w:rsidR="003741E6" w:rsidRPr="00F80A39">
        <w:rPr>
          <w:rFonts w:ascii="Times New Roman" w:hAnsi="Times New Roman" w:cs="Times New Roman"/>
          <w:sz w:val="24"/>
          <w:szCs w:val="24"/>
        </w:rPr>
        <w:t xml:space="preserve"> during microwave drying as a functi</w:t>
      </w:r>
      <w:r w:rsidR="00CB7048" w:rsidRPr="00F80A39">
        <w:rPr>
          <w:rFonts w:ascii="Times New Roman" w:hAnsi="Times New Roman" w:cs="Times New Roman"/>
          <w:sz w:val="24"/>
          <w:szCs w:val="24"/>
        </w:rPr>
        <w:t xml:space="preserve">on of time </w:t>
      </w:r>
      <w:r w:rsidR="00FF6C3D" w:rsidRPr="00F80A39">
        <w:rPr>
          <w:rFonts w:ascii="Times New Roman" w:hAnsi="Times New Roman" w:cs="Times New Roman"/>
          <w:sz w:val="24"/>
          <w:szCs w:val="24"/>
        </w:rPr>
        <w:t xml:space="preserve">are </w:t>
      </w:r>
      <w:r w:rsidR="00CB7048" w:rsidRPr="00F80A39">
        <w:rPr>
          <w:rFonts w:ascii="Times New Roman" w:hAnsi="Times New Roman" w:cs="Times New Roman"/>
          <w:sz w:val="24"/>
          <w:szCs w:val="24"/>
        </w:rPr>
        <w:t xml:space="preserve">shown in Figure </w:t>
      </w:r>
      <w:r w:rsidR="003741E6" w:rsidRPr="00F80A39">
        <w:rPr>
          <w:rFonts w:ascii="Times New Roman" w:hAnsi="Times New Roman" w:cs="Times New Roman"/>
          <w:sz w:val="24"/>
          <w:szCs w:val="24"/>
        </w:rPr>
        <w:t>3. Th</w:t>
      </w:r>
      <w:r w:rsidRPr="00F80A39">
        <w:rPr>
          <w:rFonts w:ascii="Times New Roman" w:hAnsi="Times New Roman" w:cs="Times New Roman"/>
          <w:sz w:val="24"/>
          <w:szCs w:val="24"/>
        </w:rPr>
        <w:t>ese</w:t>
      </w:r>
      <w:r w:rsidR="003741E6" w:rsidRPr="00F80A39">
        <w:rPr>
          <w:rFonts w:ascii="Times New Roman" w:hAnsi="Times New Roman" w:cs="Times New Roman"/>
          <w:sz w:val="24"/>
          <w:szCs w:val="24"/>
        </w:rPr>
        <w:t xml:space="preserve"> temperature and power profile can be divided into four zones. In zone </w:t>
      </w:r>
      <w:r w:rsidR="00A81613" w:rsidRPr="00F80A39">
        <w:rPr>
          <w:rFonts w:ascii="Times New Roman" w:hAnsi="Times New Roman" w:cs="Times New Roman"/>
          <w:sz w:val="24"/>
          <w:szCs w:val="24"/>
        </w:rPr>
        <w:t>I</w:t>
      </w:r>
      <w:r w:rsidR="003741E6" w:rsidRPr="00F80A39">
        <w:rPr>
          <w:rFonts w:ascii="Times New Roman" w:hAnsi="Times New Roman" w:cs="Times New Roman"/>
          <w:sz w:val="24"/>
          <w:szCs w:val="24"/>
        </w:rPr>
        <w:t xml:space="preserve">, </w:t>
      </w:r>
      <w:r w:rsidR="00A81613" w:rsidRPr="00F80A39">
        <w:rPr>
          <w:rFonts w:ascii="Times New Roman" w:hAnsi="Times New Roman" w:cs="Times New Roman"/>
          <w:sz w:val="24"/>
          <w:szCs w:val="24"/>
        </w:rPr>
        <w:t xml:space="preserve">the </w:t>
      </w:r>
      <w:r w:rsidR="003741E6" w:rsidRPr="00F80A39">
        <w:rPr>
          <w:rFonts w:ascii="Times New Roman" w:hAnsi="Times New Roman" w:cs="Times New Roman"/>
          <w:sz w:val="24"/>
          <w:szCs w:val="24"/>
        </w:rPr>
        <w:t xml:space="preserve">temperature </w:t>
      </w:r>
      <w:r w:rsidR="00A81613" w:rsidRPr="00F80A39">
        <w:rPr>
          <w:rFonts w:ascii="Times New Roman" w:hAnsi="Times New Roman" w:cs="Times New Roman"/>
          <w:sz w:val="24"/>
          <w:szCs w:val="24"/>
        </w:rPr>
        <w:t>increased</w:t>
      </w:r>
      <w:r w:rsidR="003741E6" w:rsidRPr="00F80A39">
        <w:rPr>
          <w:rFonts w:ascii="Times New Roman" w:hAnsi="Times New Roman" w:cs="Times New Roman"/>
          <w:sz w:val="24"/>
          <w:szCs w:val="24"/>
        </w:rPr>
        <w:t xml:space="preserve">, but no desorption was observed. The net power consumption increased slightly at this stage. In zone </w:t>
      </w:r>
      <w:r w:rsidR="00A81613" w:rsidRPr="00F80A39">
        <w:rPr>
          <w:rFonts w:ascii="Times New Roman" w:hAnsi="Times New Roman" w:cs="Times New Roman"/>
          <w:sz w:val="24"/>
          <w:szCs w:val="24"/>
        </w:rPr>
        <w:t>II</w:t>
      </w:r>
      <w:r w:rsidR="003741E6" w:rsidRPr="00F80A39">
        <w:rPr>
          <w:rFonts w:ascii="Times New Roman" w:hAnsi="Times New Roman" w:cs="Times New Roman"/>
          <w:sz w:val="24"/>
          <w:szCs w:val="24"/>
        </w:rPr>
        <w:t xml:space="preserve">, continuous desorption occurred and the temperature showed </w:t>
      </w:r>
      <w:r w:rsidR="00A81613" w:rsidRPr="00F80A39">
        <w:rPr>
          <w:rFonts w:ascii="Times New Roman" w:hAnsi="Times New Roman" w:cs="Times New Roman"/>
          <w:sz w:val="24"/>
          <w:szCs w:val="24"/>
        </w:rPr>
        <w:t>slow</w:t>
      </w:r>
      <w:r w:rsidR="003741E6" w:rsidRPr="00F80A39">
        <w:rPr>
          <w:rFonts w:ascii="Times New Roman" w:hAnsi="Times New Roman" w:cs="Times New Roman"/>
          <w:sz w:val="24"/>
          <w:szCs w:val="24"/>
        </w:rPr>
        <w:t xml:space="preserve"> </w:t>
      </w:r>
      <w:r w:rsidR="00A81613" w:rsidRPr="00F80A39">
        <w:rPr>
          <w:rFonts w:ascii="Times New Roman" w:hAnsi="Times New Roman" w:cs="Times New Roman"/>
          <w:sz w:val="24"/>
          <w:szCs w:val="24"/>
        </w:rPr>
        <w:t>change</w:t>
      </w:r>
      <w:r w:rsidR="003741E6" w:rsidRPr="00F80A39">
        <w:rPr>
          <w:rFonts w:ascii="Times New Roman" w:hAnsi="Times New Roman" w:cs="Times New Roman"/>
          <w:sz w:val="24"/>
          <w:szCs w:val="24"/>
        </w:rPr>
        <w:t xml:space="preserve">. The power consumption rapidly increased </w:t>
      </w:r>
      <w:r w:rsidR="00A81613" w:rsidRPr="00F80A39">
        <w:rPr>
          <w:rFonts w:ascii="Times New Roman" w:hAnsi="Times New Roman" w:cs="Times New Roman"/>
          <w:sz w:val="24"/>
          <w:szCs w:val="24"/>
        </w:rPr>
        <w:t>to a steady level</w:t>
      </w:r>
      <w:r w:rsidR="003741E6" w:rsidRPr="00F80A39">
        <w:rPr>
          <w:rFonts w:ascii="Times New Roman" w:hAnsi="Times New Roman" w:cs="Times New Roman"/>
          <w:sz w:val="24"/>
          <w:szCs w:val="24"/>
        </w:rPr>
        <w:t xml:space="preserve">. In zone </w:t>
      </w:r>
      <w:r w:rsidR="00A81613" w:rsidRPr="00F80A39">
        <w:rPr>
          <w:rFonts w:ascii="Times New Roman" w:hAnsi="Times New Roman" w:cs="Times New Roman"/>
          <w:sz w:val="24"/>
          <w:szCs w:val="24"/>
        </w:rPr>
        <w:t>III</w:t>
      </w:r>
      <w:r w:rsidR="003741E6" w:rsidRPr="00F80A39">
        <w:rPr>
          <w:rFonts w:ascii="Times New Roman" w:hAnsi="Times New Roman" w:cs="Times New Roman"/>
          <w:sz w:val="24"/>
          <w:szCs w:val="24"/>
        </w:rPr>
        <w:t xml:space="preserve">, the temperature sharply increased until the </w:t>
      </w:r>
      <w:r w:rsidR="00A81613" w:rsidRPr="00F80A39">
        <w:rPr>
          <w:rFonts w:ascii="Times New Roman" w:hAnsi="Times New Roman" w:cs="Times New Roman"/>
          <w:sz w:val="24"/>
          <w:szCs w:val="24"/>
        </w:rPr>
        <w:t>set-</w:t>
      </w:r>
      <w:r w:rsidR="003741E6" w:rsidRPr="00F80A39">
        <w:rPr>
          <w:rFonts w:ascii="Times New Roman" w:hAnsi="Times New Roman" w:cs="Times New Roman"/>
          <w:sz w:val="24"/>
          <w:szCs w:val="24"/>
        </w:rPr>
        <w:t xml:space="preserve">point was reached. At this stage, the energy consumption </w:t>
      </w:r>
      <w:r w:rsidR="00157BA8" w:rsidRPr="00F80A39">
        <w:rPr>
          <w:rFonts w:ascii="Times New Roman" w:hAnsi="Times New Roman" w:cs="Times New Roman"/>
          <w:sz w:val="24"/>
          <w:szCs w:val="24"/>
        </w:rPr>
        <w:t xml:space="preserve">is </w:t>
      </w:r>
      <w:r w:rsidR="00A81613" w:rsidRPr="00F80A39">
        <w:rPr>
          <w:rFonts w:ascii="Times New Roman" w:hAnsi="Times New Roman" w:cs="Times New Roman"/>
          <w:sz w:val="24"/>
          <w:szCs w:val="24"/>
        </w:rPr>
        <w:t xml:space="preserve">mainly </w:t>
      </w:r>
      <w:r w:rsidR="003741E6" w:rsidRPr="00F80A39">
        <w:rPr>
          <w:rFonts w:ascii="Times New Roman" w:hAnsi="Times New Roman" w:cs="Times New Roman"/>
          <w:sz w:val="24"/>
          <w:szCs w:val="24"/>
        </w:rPr>
        <w:t xml:space="preserve">attributed to adsorbent heating. Therefore, </w:t>
      </w:r>
      <w:r w:rsidR="00157BA8" w:rsidRPr="00F80A39">
        <w:rPr>
          <w:rFonts w:ascii="Times New Roman" w:hAnsi="Times New Roman" w:cs="Times New Roman"/>
          <w:sz w:val="24"/>
          <w:szCs w:val="24"/>
        </w:rPr>
        <w:t xml:space="preserve">both </w:t>
      </w:r>
      <w:r w:rsidR="003741E6" w:rsidRPr="00F80A39">
        <w:rPr>
          <w:rFonts w:ascii="Times New Roman" w:hAnsi="Times New Roman" w:cs="Times New Roman"/>
          <w:sz w:val="24"/>
          <w:szCs w:val="24"/>
        </w:rPr>
        <w:t xml:space="preserve">the energy requirement for heating and the power consumption decreased due to the precise control of the PID controller. Finally in zone </w:t>
      </w:r>
      <w:r w:rsidR="00A81613" w:rsidRPr="00F80A39">
        <w:rPr>
          <w:rFonts w:ascii="Times New Roman" w:hAnsi="Times New Roman" w:cs="Times New Roman"/>
          <w:sz w:val="24"/>
          <w:szCs w:val="24"/>
        </w:rPr>
        <w:t>IV</w:t>
      </w:r>
      <w:r w:rsidR="003741E6" w:rsidRPr="00F80A39">
        <w:rPr>
          <w:rFonts w:ascii="Times New Roman" w:hAnsi="Times New Roman" w:cs="Times New Roman"/>
          <w:sz w:val="24"/>
          <w:szCs w:val="24"/>
        </w:rPr>
        <w:t xml:space="preserve">, the temperature stabilized at the </w:t>
      </w:r>
      <w:r w:rsidR="00BF5059" w:rsidRPr="00F80A39">
        <w:rPr>
          <w:rFonts w:ascii="Times New Roman" w:hAnsi="Times New Roman" w:cs="Times New Roman"/>
          <w:sz w:val="24"/>
          <w:szCs w:val="24"/>
        </w:rPr>
        <w:t>set-</w:t>
      </w:r>
      <w:r w:rsidR="003741E6" w:rsidRPr="00F80A39">
        <w:rPr>
          <w:rFonts w:ascii="Times New Roman" w:hAnsi="Times New Roman" w:cs="Times New Roman"/>
          <w:sz w:val="24"/>
          <w:szCs w:val="24"/>
        </w:rPr>
        <w:t xml:space="preserve">point value. At this stage, the </w:t>
      </w:r>
      <w:r w:rsidR="003741E6" w:rsidRPr="00F80A39">
        <w:rPr>
          <w:rFonts w:ascii="Times New Roman" w:hAnsi="Times New Roman" w:cs="Times New Roman"/>
          <w:sz w:val="24"/>
          <w:szCs w:val="24"/>
        </w:rPr>
        <w:lastRenderedPageBreak/>
        <w:t xml:space="preserve">heat gain and </w:t>
      </w:r>
      <w:r w:rsidR="00157BA8" w:rsidRPr="00F80A39">
        <w:rPr>
          <w:rFonts w:ascii="Times New Roman" w:hAnsi="Times New Roman" w:cs="Times New Roman"/>
          <w:sz w:val="24"/>
          <w:szCs w:val="24"/>
        </w:rPr>
        <w:t xml:space="preserve">the </w:t>
      </w:r>
      <w:r w:rsidR="003741E6" w:rsidRPr="00F80A39">
        <w:rPr>
          <w:rFonts w:ascii="Times New Roman" w:hAnsi="Times New Roman" w:cs="Times New Roman"/>
          <w:sz w:val="24"/>
          <w:szCs w:val="24"/>
        </w:rPr>
        <w:t xml:space="preserve">heat loss became equal, and very little desorption was observed. </w:t>
      </w:r>
      <w:r w:rsidR="00FD4DC7" w:rsidRPr="00F80A39" w:rsidDel="00FD4DC7">
        <w:rPr>
          <w:rFonts w:ascii="Times New Roman" w:hAnsi="Times New Roman" w:cs="Times New Roman"/>
          <w:sz w:val="24"/>
          <w:szCs w:val="24"/>
        </w:rPr>
        <w:t xml:space="preserve"> </w:t>
      </w:r>
      <w:r w:rsidR="003741E6" w:rsidRPr="00F80A39">
        <w:rPr>
          <w:rFonts w:ascii="Times New Roman" w:hAnsi="Times New Roman" w:cs="Times New Roman"/>
          <w:sz w:val="24"/>
          <w:szCs w:val="24"/>
        </w:rPr>
        <w:t xml:space="preserve">The drying behaviour of Na-ETS-10 was consistent </w:t>
      </w:r>
      <w:r w:rsidR="00157BA8" w:rsidRPr="00F80A39">
        <w:rPr>
          <w:rFonts w:ascii="Times New Roman" w:hAnsi="Times New Roman" w:cs="Times New Roman"/>
          <w:sz w:val="24"/>
          <w:szCs w:val="24"/>
        </w:rPr>
        <w:t xml:space="preserve">with reports in literature  </w:t>
      </w:r>
      <w:r w:rsidR="003741E6" w:rsidRPr="00F80A39">
        <w:rPr>
          <w:rFonts w:ascii="Times New Roman" w:hAnsi="Times New Roman" w:cs="Times New Roman"/>
          <w:sz w:val="24"/>
          <w:szCs w:val="24"/>
        </w:rPr>
        <w:t>(Polaert et al., 2007, 2010).</w:t>
      </w:r>
    </w:p>
    <w:p w14:paraId="34D8590D" w14:textId="77777777" w:rsidR="003741E6" w:rsidRPr="003070D0" w:rsidRDefault="003741E6" w:rsidP="00B84DF3">
      <w:pPr>
        <w:spacing w:line="240" w:lineRule="auto"/>
        <w:jc w:val="both"/>
        <w:rPr>
          <w:rFonts w:ascii="Times New Roman" w:hAnsi="Times New Roman" w:cs="Times New Roman"/>
          <w:sz w:val="24"/>
          <w:szCs w:val="24"/>
        </w:rPr>
      </w:pPr>
    </w:p>
    <w:p w14:paraId="6ADD0C6E" w14:textId="77777777" w:rsidR="003741E6" w:rsidRDefault="003C0039" w:rsidP="00B84DF3">
      <w:pPr>
        <w:pStyle w:val="Caption"/>
        <w:jc w:val="both"/>
        <w:rPr>
          <w:rFonts w:ascii="Times New Roman" w:hAnsi="Times New Roman" w:cs="Times New Roman"/>
          <w:color w:val="000000" w:themeColor="text1"/>
          <w:sz w:val="24"/>
          <w:szCs w:val="24"/>
        </w:rPr>
      </w:pPr>
      <w:r w:rsidRPr="00E028A0">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0288" behindDoc="0" locked="0" layoutInCell="1" allowOverlap="1" wp14:anchorId="734F7D35" wp14:editId="4B834028">
                <wp:simplePos x="0" y="0"/>
                <wp:positionH relativeFrom="column">
                  <wp:posOffset>3200400</wp:posOffset>
                </wp:positionH>
                <wp:positionV relativeFrom="paragraph">
                  <wp:posOffset>514350</wp:posOffset>
                </wp:positionV>
                <wp:extent cx="209550" cy="146050"/>
                <wp:effectExtent l="0" t="57150" r="19050" b="254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46050"/>
                        </a:xfrm>
                        <a:custGeom>
                          <a:avLst/>
                          <a:gdLst>
                            <a:gd name="connsiteX0" fmla="*/ 203200 w 209477"/>
                            <a:gd name="connsiteY0" fmla="*/ 146050 h 146050"/>
                            <a:gd name="connsiteX1" fmla="*/ 184150 w 209477"/>
                            <a:gd name="connsiteY1" fmla="*/ 31750 h 146050"/>
                            <a:gd name="connsiteX2" fmla="*/ 0 w 209477"/>
                            <a:gd name="connsiteY2" fmla="*/ 0 h 146050"/>
                            <a:gd name="connsiteX3" fmla="*/ 0 w 209477"/>
                            <a:gd name="connsiteY3" fmla="*/ 0 h 146050"/>
                          </a:gdLst>
                          <a:ahLst/>
                          <a:cxnLst>
                            <a:cxn ang="0">
                              <a:pos x="connsiteX0" y="connsiteY0"/>
                            </a:cxn>
                            <a:cxn ang="0">
                              <a:pos x="connsiteX1" y="connsiteY1"/>
                            </a:cxn>
                            <a:cxn ang="0">
                              <a:pos x="connsiteX2" y="connsiteY2"/>
                            </a:cxn>
                            <a:cxn ang="0">
                              <a:pos x="connsiteX3" y="connsiteY3"/>
                            </a:cxn>
                          </a:cxnLst>
                          <a:rect l="l" t="t" r="r" b="b"/>
                          <a:pathLst>
                            <a:path w="209477" h="146050">
                              <a:moveTo>
                                <a:pt x="203200" y="146050"/>
                              </a:moveTo>
                              <a:cubicBezTo>
                                <a:pt x="210608" y="101071"/>
                                <a:pt x="218017" y="56092"/>
                                <a:pt x="184150" y="31750"/>
                              </a:cubicBezTo>
                              <a:cubicBezTo>
                                <a:pt x="150283" y="7408"/>
                                <a:pt x="0" y="0"/>
                                <a:pt x="0" y="0"/>
                              </a:cubicBezTo>
                              <a:lnTo>
                                <a:pt x="0" y="0"/>
                              </a:lnTo>
                            </a:path>
                          </a:pathLst>
                        </a:custGeom>
                        <a:noFill/>
                        <a:ln w="3175">
                          <a:solidFill>
                            <a:schemeClr val="tx1"/>
                          </a:solidFill>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52pt;margin-top:40.5pt;width:16.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9477,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" path="m203200,146050c210608,101071,218017,56092,184150,31750,150283,7408,,,,l,e" filled="f" strokecolor="black [3213]" strokeweight=".25pt">
                <v:stroke endarrow="block"/>
                <v:path arrowok="t" o:connecttype="custom" o:connectlocs="203271,146050;184214,31750;0,0;0,0" o:connectangles="0,0,0,0"/>
              </v:shape>
            </w:pict>
          </mc:Fallback>
        </mc:AlternateContent>
      </w:r>
      <w:r w:rsidRPr="00E028A0">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59264" behindDoc="0" locked="0" layoutInCell="1" allowOverlap="1" wp14:anchorId="05411993" wp14:editId="2D7EC41E">
                <wp:simplePos x="0" y="0"/>
                <wp:positionH relativeFrom="column">
                  <wp:posOffset>3516630</wp:posOffset>
                </wp:positionH>
                <wp:positionV relativeFrom="paragraph">
                  <wp:posOffset>1498600</wp:posOffset>
                </wp:positionV>
                <wp:extent cx="330835" cy="152400"/>
                <wp:effectExtent l="0" t="57150" r="12065"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152400"/>
                        </a:xfrm>
                        <a:custGeom>
                          <a:avLst/>
                          <a:gdLst>
                            <a:gd name="connsiteX0" fmla="*/ 814 w 331014"/>
                            <a:gd name="connsiteY0" fmla="*/ 152400 h 152400"/>
                            <a:gd name="connsiteX1" fmla="*/ 51614 w 331014"/>
                            <a:gd name="connsiteY1" fmla="*/ 31750 h 152400"/>
                            <a:gd name="connsiteX2" fmla="*/ 331014 w 331014"/>
                            <a:gd name="connsiteY2" fmla="*/ 0 h 152400"/>
                            <a:gd name="connsiteX3" fmla="*/ 331014 w 331014"/>
                            <a:gd name="connsiteY3" fmla="*/ 0 h 152400"/>
                          </a:gdLst>
                          <a:ahLst/>
                          <a:cxnLst>
                            <a:cxn ang="0">
                              <a:pos x="connsiteX0" y="connsiteY0"/>
                            </a:cxn>
                            <a:cxn ang="0">
                              <a:pos x="connsiteX1" y="connsiteY1"/>
                            </a:cxn>
                            <a:cxn ang="0">
                              <a:pos x="connsiteX2" y="connsiteY2"/>
                            </a:cxn>
                            <a:cxn ang="0">
                              <a:pos x="connsiteX3" y="connsiteY3"/>
                            </a:cxn>
                          </a:cxnLst>
                          <a:rect l="l" t="t" r="r" b="b"/>
                          <a:pathLst>
                            <a:path w="331014" h="152400">
                              <a:moveTo>
                                <a:pt x="814" y="152400"/>
                              </a:moveTo>
                              <a:cubicBezTo>
                                <a:pt x="-1303" y="104775"/>
                                <a:pt x="-3419" y="57150"/>
                                <a:pt x="51614" y="31750"/>
                              </a:cubicBezTo>
                              <a:cubicBezTo>
                                <a:pt x="106647" y="6350"/>
                                <a:pt x="331014" y="0"/>
                                <a:pt x="331014" y="0"/>
                              </a:cubicBezTo>
                              <a:lnTo>
                                <a:pt x="331014" y="0"/>
                              </a:lnTo>
                            </a:path>
                          </a:pathLst>
                        </a:custGeom>
                        <a:noFill/>
                        <a:ln w="3175">
                          <a:solidFill>
                            <a:schemeClr val="tx1"/>
                          </a:solidFill>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76.9pt;margin-top:118pt;width:26.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1014,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" path="m814,152400c-1303,104775,-3419,57150,51614,31750,106647,6350,331014,,331014,r,e" filled="f" strokecolor="black [3213]" strokeweight=".25pt">
                <v:stroke endarrow="block"/>
                <v:path arrowok="t" o:connecttype="custom" o:connectlocs="814,152400;51586,31750;330835,0;330835,0" o:connectangles="0,0,0,0"/>
              </v:shape>
            </w:pict>
          </mc:Fallback>
        </mc:AlternateContent>
      </w:r>
      <w:r w:rsidR="003741E6">
        <w:rPr>
          <w:rFonts w:ascii="Times New Roman" w:hAnsi="Times New Roman" w:cs="Times New Roman"/>
          <w:noProof/>
          <w:color w:val="000000" w:themeColor="text1"/>
          <w:sz w:val="24"/>
          <w:szCs w:val="24"/>
          <w:lang w:val="en-US" w:eastAsia="en-US"/>
        </w:rPr>
        <w:drawing>
          <wp:inline distT="0" distB="0" distL="0" distR="0" wp14:anchorId="733670B6" wp14:editId="0A8EF0B4">
            <wp:extent cx="5029200" cy="3106176"/>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32C774" w14:textId="77777777" w:rsidR="003741E6" w:rsidRPr="003070D0" w:rsidRDefault="003741E6" w:rsidP="0080552B">
      <w:pPr>
        <w:pStyle w:val="Caption"/>
        <w:jc w:val="center"/>
        <w:rPr>
          <w:rFonts w:ascii="Times New Roman" w:hAnsi="Times New Roman" w:cs="Times New Roman"/>
          <w:color w:val="000000" w:themeColor="text1"/>
          <w:sz w:val="24"/>
          <w:szCs w:val="24"/>
        </w:rPr>
      </w:pPr>
      <w:bookmarkStart w:id="7" w:name="_Toc321837707"/>
      <w:r w:rsidRPr="003070D0">
        <w:rPr>
          <w:rFonts w:ascii="Times New Roman" w:hAnsi="Times New Roman" w:cs="Times New Roman"/>
          <w:color w:val="000000" w:themeColor="text1"/>
          <w:sz w:val="24"/>
          <w:szCs w:val="24"/>
        </w:rPr>
        <w:t xml:space="preserve">Figure </w:t>
      </w:r>
      <w:r w:rsidR="00AF1B59" w:rsidRPr="003070D0">
        <w:rPr>
          <w:rFonts w:ascii="Times New Roman" w:hAnsi="Times New Roman" w:cs="Times New Roman"/>
          <w:color w:val="000000" w:themeColor="text1"/>
          <w:sz w:val="24"/>
          <w:szCs w:val="24"/>
        </w:rPr>
        <w:fldChar w:fldCharType="begin"/>
      </w:r>
      <w:r w:rsidRPr="003070D0">
        <w:rPr>
          <w:rFonts w:ascii="Times New Roman" w:hAnsi="Times New Roman" w:cs="Times New Roman"/>
          <w:color w:val="000000" w:themeColor="text1"/>
          <w:sz w:val="24"/>
          <w:szCs w:val="24"/>
        </w:rPr>
        <w:instrText xml:space="preserve"> SEQ Figure_4- \* ARABIC </w:instrText>
      </w:r>
      <w:r w:rsidR="00AF1B59" w:rsidRPr="003070D0">
        <w:rPr>
          <w:rFonts w:ascii="Times New Roman" w:hAnsi="Times New Roman" w:cs="Times New Roman"/>
          <w:color w:val="000000" w:themeColor="text1"/>
          <w:sz w:val="24"/>
          <w:szCs w:val="24"/>
        </w:rPr>
        <w:fldChar w:fldCharType="separate"/>
      </w:r>
      <w:r w:rsidR="00357FB2">
        <w:rPr>
          <w:rFonts w:ascii="Times New Roman" w:hAnsi="Times New Roman" w:cs="Times New Roman"/>
          <w:noProof/>
          <w:color w:val="000000" w:themeColor="text1"/>
          <w:sz w:val="24"/>
          <w:szCs w:val="24"/>
        </w:rPr>
        <w:t>3</w:t>
      </w:r>
      <w:r w:rsidR="00AF1B59" w:rsidRPr="003070D0">
        <w:rPr>
          <w:rFonts w:ascii="Times New Roman" w:hAnsi="Times New Roman" w:cs="Times New Roman"/>
          <w:color w:val="000000" w:themeColor="text1"/>
          <w:sz w:val="24"/>
          <w:szCs w:val="24"/>
        </w:rPr>
        <w:fldChar w:fldCharType="end"/>
      </w:r>
      <w:r w:rsidRPr="003070D0">
        <w:rPr>
          <w:rFonts w:ascii="Times New Roman" w:hAnsi="Times New Roman" w:cs="Times New Roman"/>
          <w:color w:val="000000" w:themeColor="text1"/>
          <w:sz w:val="24"/>
          <w:szCs w:val="24"/>
        </w:rPr>
        <w:t xml:space="preserve">: </w:t>
      </w:r>
      <w:r w:rsidR="00C44886">
        <w:rPr>
          <w:rFonts w:ascii="Times New Roman" w:hAnsi="Times New Roman" w:cs="Times New Roman"/>
          <w:color w:val="000000" w:themeColor="text1"/>
          <w:sz w:val="24"/>
          <w:szCs w:val="24"/>
        </w:rPr>
        <w:t>Microwave drying</w:t>
      </w:r>
      <w:r w:rsidR="00C44886" w:rsidRPr="003070D0">
        <w:rPr>
          <w:rFonts w:ascii="Times New Roman" w:hAnsi="Times New Roman" w:cs="Times New Roman"/>
          <w:color w:val="000000" w:themeColor="text1"/>
          <w:sz w:val="24"/>
          <w:szCs w:val="24"/>
        </w:rPr>
        <w:t xml:space="preserve"> </w:t>
      </w:r>
      <w:r w:rsidR="00C44886">
        <w:rPr>
          <w:rFonts w:ascii="Times New Roman" w:hAnsi="Times New Roman" w:cs="Times New Roman"/>
          <w:color w:val="000000" w:themeColor="text1"/>
          <w:sz w:val="24"/>
          <w:szCs w:val="24"/>
        </w:rPr>
        <w:t xml:space="preserve">following </w:t>
      </w:r>
      <w:r w:rsidRPr="003070D0">
        <w:rPr>
          <w:rFonts w:ascii="Times New Roman" w:hAnsi="Times New Roman" w:cs="Times New Roman"/>
          <w:color w:val="000000" w:themeColor="text1"/>
          <w:sz w:val="24"/>
          <w:szCs w:val="24"/>
        </w:rPr>
        <w:t>desorption</w:t>
      </w:r>
      <w:r w:rsidR="00C44886">
        <w:rPr>
          <w:rFonts w:ascii="Times New Roman" w:hAnsi="Times New Roman" w:cs="Times New Roman"/>
          <w:color w:val="000000" w:themeColor="text1"/>
          <w:sz w:val="24"/>
          <w:szCs w:val="24"/>
        </w:rPr>
        <w:t xml:space="preserve"> with water </w:t>
      </w:r>
      <w:r w:rsidRPr="003070D0">
        <w:rPr>
          <w:rFonts w:ascii="Times New Roman" w:hAnsi="Times New Roman" w:cs="Times New Roman"/>
          <w:color w:val="000000" w:themeColor="text1"/>
          <w:sz w:val="24"/>
          <w:szCs w:val="24"/>
        </w:rPr>
        <w:t xml:space="preserve">of </w:t>
      </w:r>
      <w:r w:rsidR="00C44886" w:rsidRPr="00C44886">
        <w:rPr>
          <w:rFonts w:ascii="Times New Roman" w:hAnsi="Times New Roman" w:cs="Times New Roman"/>
          <w:color w:val="000000" w:themeColor="text1"/>
          <w:sz w:val="24"/>
          <w:szCs w:val="24"/>
        </w:rPr>
        <w:t xml:space="preserve">Na-ETS-10 </w:t>
      </w:r>
      <w:r w:rsidR="00C44886">
        <w:rPr>
          <w:rFonts w:ascii="Times New Roman" w:hAnsi="Times New Roman" w:cs="Times New Roman"/>
          <w:color w:val="000000" w:themeColor="text1"/>
          <w:sz w:val="24"/>
          <w:szCs w:val="24"/>
        </w:rPr>
        <w:t xml:space="preserve">saturated with </w:t>
      </w:r>
      <w:r w:rsidRPr="003070D0">
        <w:rPr>
          <w:rFonts w:ascii="Times New Roman" w:hAnsi="Times New Roman" w:cs="Times New Roman"/>
          <w:color w:val="000000" w:themeColor="text1"/>
          <w:sz w:val="24"/>
          <w:szCs w:val="24"/>
        </w:rPr>
        <w:t>CO</w:t>
      </w:r>
      <w:r w:rsidRPr="003070D0">
        <w:rPr>
          <w:rFonts w:ascii="Times New Roman" w:hAnsi="Times New Roman" w:cs="Times New Roman"/>
          <w:color w:val="000000" w:themeColor="text1"/>
          <w:sz w:val="24"/>
          <w:szCs w:val="24"/>
          <w:vertAlign w:val="subscript"/>
        </w:rPr>
        <w:t>2</w:t>
      </w:r>
      <w:r w:rsidRPr="003070D0">
        <w:rPr>
          <w:rFonts w:ascii="Times New Roman" w:hAnsi="Times New Roman" w:cs="Times New Roman"/>
          <w:color w:val="000000" w:themeColor="text1"/>
          <w:sz w:val="24"/>
          <w:szCs w:val="24"/>
        </w:rPr>
        <w:t>/CH</w:t>
      </w:r>
      <w:r w:rsidRPr="003070D0">
        <w:rPr>
          <w:rFonts w:ascii="Times New Roman" w:hAnsi="Times New Roman" w:cs="Times New Roman"/>
          <w:color w:val="000000" w:themeColor="text1"/>
          <w:sz w:val="24"/>
          <w:szCs w:val="24"/>
          <w:vertAlign w:val="subscript"/>
        </w:rPr>
        <w:t>4</w:t>
      </w:r>
      <w:r w:rsidRPr="003070D0">
        <w:rPr>
          <w:rFonts w:ascii="Times New Roman" w:hAnsi="Times New Roman" w:cs="Times New Roman"/>
          <w:color w:val="000000" w:themeColor="text1"/>
          <w:sz w:val="24"/>
          <w:szCs w:val="24"/>
        </w:rPr>
        <w:t>: temperature and power profile</w:t>
      </w:r>
      <w:r>
        <w:rPr>
          <w:rFonts w:ascii="Times New Roman" w:hAnsi="Times New Roman" w:cs="Times New Roman"/>
          <w:color w:val="000000" w:themeColor="text1"/>
          <w:sz w:val="24"/>
          <w:szCs w:val="24"/>
        </w:rPr>
        <w:t>.</w:t>
      </w:r>
      <w:bookmarkEnd w:id="7"/>
    </w:p>
    <w:p w14:paraId="601A91C5" w14:textId="77777777" w:rsidR="003741E6" w:rsidRPr="003070D0" w:rsidRDefault="003741E6" w:rsidP="00B84DF3">
      <w:pPr>
        <w:spacing w:line="240" w:lineRule="auto"/>
        <w:rPr>
          <w:rFonts w:ascii="Times New Roman" w:hAnsi="Times New Roman" w:cs="Times New Roman"/>
        </w:rPr>
      </w:pPr>
    </w:p>
    <w:p w14:paraId="76570A3B" w14:textId="640EA501"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The higher the microwave frequency, the larger the dielectric loss of water, </w:t>
      </w:r>
      <w:r w:rsidR="00157BA8" w:rsidRPr="00F80A39">
        <w:rPr>
          <w:rFonts w:ascii="Times New Roman" w:hAnsi="Times New Roman" w:cs="Times New Roman"/>
          <w:sz w:val="24"/>
          <w:szCs w:val="24"/>
        </w:rPr>
        <w:t xml:space="preserve">resulting in </w:t>
      </w:r>
      <w:r w:rsidRPr="00F80A39">
        <w:rPr>
          <w:rFonts w:ascii="Times New Roman" w:hAnsi="Times New Roman" w:cs="Times New Roman"/>
          <w:sz w:val="24"/>
          <w:szCs w:val="24"/>
        </w:rPr>
        <w:t xml:space="preserve">more microwave power </w:t>
      </w:r>
      <w:r w:rsidR="00157BA8" w:rsidRPr="00F80A39">
        <w:rPr>
          <w:rFonts w:ascii="Times New Roman" w:hAnsi="Times New Roman" w:cs="Times New Roman"/>
          <w:sz w:val="24"/>
          <w:szCs w:val="24"/>
        </w:rPr>
        <w:t xml:space="preserve">to </w:t>
      </w:r>
      <w:r w:rsidRPr="00F80A39">
        <w:rPr>
          <w:rFonts w:ascii="Times New Roman" w:hAnsi="Times New Roman" w:cs="Times New Roman"/>
          <w:sz w:val="24"/>
          <w:szCs w:val="24"/>
        </w:rPr>
        <w:t xml:space="preserve">be absorbed. </w:t>
      </w:r>
      <w:r w:rsidR="00157BA8" w:rsidRPr="00F80A39">
        <w:rPr>
          <w:rFonts w:ascii="Times New Roman" w:hAnsi="Times New Roman" w:cs="Times New Roman"/>
          <w:sz w:val="24"/>
          <w:szCs w:val="24"/>
        </w:rPr>
        <w:t xml:space="preserve">In this experiment a </w:t>
      </w:r>
      <w:r w:rsidR="00075DDF" w:rsidRPr="00F80A39">
        <w:rPr>
          <w:rFonts w:ascii="Times New Roman" w:hAnsi="Times New Roman" w:cs="Times New Roman"/>
          <w:sz w:val="24"/>
          <w:szCs w:val="24"/>
        </w:rPr>
        <w:t xml:space="preserve">microwave frequency of </w:t>
      </w:r>
      <w:r w:rsidRPr="00F80A39">
        <w:rPr>
          <w:rFonts w:ascii="Times New Roman" w:hAnsi="Times New Roman" w:cs="Times New Roman"/>
          <w:sz w:val="24"/>
          <w:szCs w:val="24"/>
        </w:rPr>
        <w:t>2.45 GHz was used</w:t>
      </w:r>
      <w:r w:rsidR="00F3051D" w:rsidRPr="00F80A39">
        <w:rPr>
          <w:rFonts w:ascii="Times New Roman" w:hAnsi="Times New Roman" w:cs="Times New Roman"/>
          <w:sz w:val="24"/>
          <w:szCs w:val="24"/>
        </w:rPr>
        <w:t xml:space="preserve">. This </w:t>
      </w:r>
      <w:r w:rsidRPr="00F80A39">
        <w:rPr>
          <w:rFonts w:ascii="Times New Roman" w:hAnsi="Times New Roman" w:cs="Times New Roman"/>
          <w:sz w:val="24"/>
          <w:szCs w:val="24"/>
        </w:rPr>
        <w:t xml:space="preserve">is much lower </w:t>
      </w:r>
      <w:r w:rsidR="00075DDF" w:rsidRPr="00F80A39">
        <w:rPr>
          <w:rFonts w:ascii="Times New Roman" w:hAnsi="Times New Roman" w:cs="Times New Roman"/>
          <w:sz w:val="24"/>
          <w:szCs w:val="24"/>
        </w:rPr>
        <w:t>than the 20GHz</w:t>
      </w:r>
      <w:r w:rsidR="009867A7" w:rsidRPr="00F80A39">
        <w:rPr>
          <w:rFonts w:ascii="Times New Roman" w:hAnsi="Times New Roman" w:cs="Times New Roman"/>
          <w:sz w:val="24"/>
          <w:szCs w:val="24"/>
        </w:rPr>
        <w:t xml:space="preserve"> </w:t>
      </w:r>
      <w:r w:rsidR="00F3051D" w:rsidRPr="00F80A39">
        <w:rPr>
          <w:rFonts w:ascii="Times New Roman" w:hAnsi="Times New Roman" w:cs="Times New Roman"/>
          <w:sz w:val="24"/>
          <w:szCs w:val="24"/>
        </w:rPr>
        <w:t>where the</w:t>
      </w:r>
      <w:r w:rsidR="00157BA8" w:rsidRPr="00F80A39">
        <w:rPr>
          <w:rFonts w:ascii="Times New Roman" w:hAnsi="Times New Roman" w:cs="Times New Roman"/>
          <w:sz w:val="24"/>
          <w:szCs w:val="24"/>
        </w:rPr>
        <w:t xml:space="preserve"> maximum dielectric loss of</w:t>
      </w:r>
      <w:r w:rsidR="00075DDF" w:rsidRPr="00F80A39">
        <w:rPr>
          <w:rFonts w:ascii="Times New Roman" w:hAnsi="Times New Roman" w:cs="Times New Roman"/>
          <w:sz w:val="24"/>
          <w:szCs w:val="24"/>
        </w:rPr>
        <w:t xml:space="preserve"> water is obtained, </w:t>
      </w:r>
      <w:r w:rsidRPr="00F80A39">
        <w:rPr>
          <w:rFonts w:ascii="Times New Roman" w:hAnsi="Times New Roman" w:cs="Times New Roman"/>
          <w:sz w:val="24"/>
          <w:szCs w:val="24"/>
        </w:rPr>
        <w:t xml:space="preserve">but offers the optimum heating of water </w:t>
      </w:r>
      <w:r w:rsidR="00075DDF" w:rsidRPr="00F80A39">
        <w:rPr>
          <w:rFonts w:ascii="Times New Roman" w:hAnsi="Times New Roman" w:cs="Times New Roman"/>
          <w:sz w:val="24"/>
          <w:szCs w:val="24"/>
        </w:rPr>
        <w:t>since the microwaves</w:t>
      </w:r>
      <w:r w:rsidR="00157BA8" w:rsidRPr="00F80A39">
        <w:rPr>
          <w:rFonts w:ascii="Times New Roman" w:hAnsi="Times New Roman" w:cs="Times New Roman"/>
          <w:sz w:val="24"/>
          <w:szCs w:val="24"/>
        </w:rPr>
        <w:t>’</w:t>
      </w:r>
      <w:r w:rsidR="00075DDF" w:rsidRPr="00F80A39">
        <w:rPr>
          <w:rFonts w:ascii="Times New Roman" w:hAnsi="Times New Roman" w:cs="Times New Roman"/>
          <w:sz w:val="24"/>
          <w:szCs w:val="24"/>
        </w:rPr>
        <w:t xml:space="preserve"> penetration depth decreases with </w:t>
      </w:r>
      <w:r w:rsidR="00F3051D" w:rsidRPr="00F80A39">
        <w:rPr>
          <w:rFonts w:ascii="Times New Roman" w:hAnsi="Times New Roman" w:cs="Times New Roman"/>
          <w:sz w:val="24"/>
          <w:szCs w:val="24"/>
        </w:rPr>
        <w:t xml:space="preserve">the increase in </w:t>
      </w:r>
      <w:r w:rsidR="00075DDF" w:rsidRPr="00F80A39">
        <w:rPr>
          <w:rFonts w:ascii="Times New Roman" w:hAnsi="Times New Roman" w:cs="Times New Roman"/>
          <w:sz w:val="24"/>
          <w:szCs w:val="24"/>
        </w:rPr>
        <w:t xml:space="preserve">frequency </w:t>
      </w:r>
      <w:r w:rsidRPr="00F80A39">
        <w:rPr>
          <w:rFonts w:ascii="Times New Roman" w:hAnsi="Times New Roman" w:cs="Times New Roman"/>
          <w:sz w:val="24"/>
          <w:szCs w:val="24"/>
        </w:rPr>
        <w:t>(Michael et al., 1991).</w:t>
      </w:r>
    </w:p>
    <w:p w14:paraId="705A172C" w14:textId="5B9D4E2E" w:rsidR="00CF2F39" w:rsidRPr="00F80A39" w:rsidRDefault="00896049" w:rsidP="009453F0">
      <w:pPr>
        <w:spacing w:line="480" w:lineRule="auto"/>
        <w:jc w:val="both"/>
        <w:rPr>
          <w:rFonts w:ascii="Times New Roman" w:hAnsi="Times New Roman" w:cs="Times New Roman"/>
          <w:sz w:val="24"/>
          <w:szCs w:val="24"/>
        </w:rPr>
      </w:pPr>
      <w:bookmarkStart w:id="8" w:name="_Toc320568479"/>
      <w:r w:rsidRPr="00F80A39">
        <w:rPr>
          <w:rFonts w:ascii="Times New Roman" w:hAnsi="Times New Roman" w:cs="Times New Roman"/>
          <w:sz w:val="24"/>
          <w:szCs w:val="24"/>
        </w:rPr>
        <w:t xml:space="preserve">Table 1 compares </w:t>
      </w:r>
      <w:r w:rsidR="00702564" w:rsidRPr="00F80A39">
        <w:rPr>
          <w:rFonts w:ascii="Times New Roman" w:eastAsia="Times New Roman" w:hAnsi="Times New Roman" w:cs="Times New Roman"/>
          <w:sz w:val="24"/>
          <w:szCs w:val="24"/>
        </w:rPr>
        <w:t>the adsorption capacities for H</w:t>
      </w:r>
      <w:r w:rsidR="00702564" w:rsidRPr="00F80A39">
        <w:rPr>
          <w:rFonts w:ascii="Times New Roman" w:eastAsia="Times New Roman" w:hAnsi="Times New Roman" w:cs="Times New Roman"/>
          <w:sz w:val="24"/>
          <w:szCs w:val="24"/>
          <w:vertAlign w:val="subscript"/>
        </w:rPr>
        <w:t>2</w:t>
      </w:r>
      <w:r w:rsidR="00702564" w:rsidRPr="00F80A39">
        <w:rPr>
          <w:rFonts w:ascii="Times New Roman" w:eastAsia="Times New Roman" w:hAnsi="Times New Roman" w:cs="Times New Roman"/>
          <w:sz w:val="24"/>
          <w:szCs w:val="24"/>
        </w:rPr>
        <w:t>O, CO</w:t>
      </w:r>
      <w:r w:rsidR="00702564" w:rsidRPr="00F80A39">
        <w:rPr>
          <w:rFonts w:ascii="Times New Roman" w:eastAsia="Times New Roman" w:hAnsi="Times New Roman" w:cs="Times New Roman"/>
          <w:sz w:val="24"/>
          <w:szCs w:val="24"/>
          <w:vertAlign w:val="subscript"/>
        </w:rPr>
        <w:t>2</w:t>
      </w:r>
      <w:r w:rsidR="00702564" w:rsidRPr="00F80A39">
        <w:rPr>
          <w:rFonts w:ascii="Times New Roman" w:eastAsia="Times New Roman" w:hAnsi="Times New Roman" w:cs="Times New Roman"/>
          <w:sz w:val="24"/>
          <w:szCs w:val="24"/>
        </w:rPr>
        <w:t>, and CH</w:t>
      </w:r>
      <w:r w:rsidR="00702564" w:rsidRPr="00F80A39">
        <w:rPr>
          <w:rFonts w:ascii="Times New Roman" w:hAnsi="Times New Roman" w:cs="Times New Roman"/>
          <w:sz w:val="24"/>
          <w:szCs w:val="24"/>
          <w:vertAlign w:val="subscript"/>
        </w:rPr>
        <w:t>4</w:t>
      </w:r>
      <w:r w:rsidR="00702564" w:rsidRPr="00F80A39">
        <w:rPr>
          <w:rFonts w:ascii="Times New Roman" w:eastAsia="Times New Roman" w:hAnsi="Times New Roman" w:cs="Times New Roman"/>
          <w:sz w:val="24"/>
          <w:szCs w:val="24"/>
        </w:rPr>
        <w:t xml:space="preserve"> on Na-ETS-10 and classical zeolites (NaX, NaY) as well as the normalised energy consumption for drying the adsorbents using microwave regeneration</w:t>
      </w:r>
      <w:r w:rsidRPr="00F80A39">
        <w:rPr>
          <w:rFonts w:ascii="Times New Roman" w:hAnsi="Times New Roman" w:cs="Times New Roman"/>
          <w:sz w:val="24"/>
          <w:szCs w:val="24"/>
        </w:rPr>
        <w:t>.</w:t>
      </w:r>
      <w:r w:rsidR="00840A30" w:rsidRPr="00F80A39">
        <w:rPr>
          <w:rFonts w:ascii="Times New Roman" w:hAnsi="Times New Roman" w:cs="Times New Roman"/>
          <w:sz w:val="24"/>
          <w:szCs w:val="24"/>
        </w:rPr>
        <w:t xml:space="preserve"> </w:t>
      </w:r>
      <w:r w:rsidR="009D7678" w:rsidRPr="00F80A39">
        <w:rPr>
          <w:rFonts w:ascii="Times New Roman" w:hAnsi="Times New Roman" w:cs="Times New Roman"/>
          <w:sz w:val="24"/>
          <w:szCs w:val="24"/>
        </w:rPr>
        <w:t xml:space="preserve">At </w:t>
      </w:r>
      <w:r w:rsidR="00CF2F39" w:rsidRPr="00F80A39">
        <w:rPr>
          <w:rFonts w:ascii="Times New Roman" w:hAnsi="Times New Roman" w:cs="Times New Roman"/>
          <w:sz w:val="24"/>
          <w:szCs w:val="24"/>
        </w:rPr>
        <w:t>similar dehydration level</w:t>
      </w:r>
      <w:r w:rsidR="00157BA8" w:rsidRPr="00F80A39">
        <w:rPr>
          <w:rFonts w:ascii="Times New Roman" w:hAnsi="Times New Roman" w:cs="Times New Roman"/>
          <w:sz w:val="24"/>
          <w:szCs w:val="24"/>
        </w:rPr>
        <w:t>s</w:t>
      </w:r>
      <w:r w:rsidR="00CF2F39" w:rsidRPr="00F80A39">
        <w:rPr>
          <w:rFonts w:ascii="Times New Roman" w:hAnsi="Times New Roman" w:cs="Times New Roman"/>
          <w:sz w:val="24"/>
          <w:szCs w:val="24"/>
        </w:rPr>
        <w:t xml:space="preserve"> (81 to 100%) </w:t>
      </w:r>
      <w:r w:rsidR="009D7678" w:rsidRPr="00F80A39">
        <w:rPr>
          <w:rFonts w:ascii="Times New Roman" w:hAnsi="Times New Roman" w:cs="Times New Roman"/>
          <w:sz w:val="24"/>
          <w:szCs w:val="24"/>
        </w:rPr>
        <w:t xml:space="preserve">the energy consumed </w:t>
      </w:r>
      <w:r w:rsidR="009D7678" w:rsidRPr="00F80A39">
        <w:rPr>
          <w:rFonts w:ascii="Times New Roman" w:hAnsi="Times New Roman" w:cs="Times New Roman"/>
          <w:sz w:val="24"/>
          <w:szCs w:val="24"/>
        </w:rPr>
        <w:lastRenderedPageBreak/>
        <w:t>(</w:t>
      </w:r>
      <w:r w:rsidR="00CF2F39" w:rsidRPr="00F80A39">
        <w:rPr>
          <w:rFonts w:ascii="Times New Roman" w:hAnsi="Times New Roman" w:cs="Times New Roman"/>
          <w:sz w:val="24"/>
          <w:szCs w:val="24"/>
        </w:rPr>
        <w:t>norm</w:t>
      </w:r>
      <w:r w:rsidR="009D7678" w:rsidRPr="00F80A39">
        <w:rPr>
          <w:rFonts w:ascii="Times New Roman" w:hAnsi="Times New Roman" w:cs="Times New Roman"/>
          <w:sz w:val="24"/>
          <w:szCs w:val="24"/>
        </w:rPr>
        <w:t>alized by gram of the adsorbent)</w:t>
      </w:r>
      <w:r w:rsidR="00CF2F39" w:rsidRPr="00F80A39">
        <w:rPr>
          <w:rFonts w:ascii="Times New Roman" w:hAnsi="Times New Roman" w:cs="Times New Roman"/>
          <w:sz w:val="24"/>
          <w:szCs w:val="24"/>
        </w:rPr>
        <w:t xml:space="preserve"> for Na</w:t>
      </w:r>
      <w:r w:rsidR="00702564" w:rsidRPr="00F80A39">
        <w:rPr>
          <w:rFonts w:ascii="Times New Roman" w:hAnsi="Times New Roman" w:cs="Times New Roman"/>
          <w:sz w:val="24"/>
          <w:szCs w:val="24"/>
        </w:rPr>
        <w:t>-</w:t>
      </w:r>
      <w:r w:rsidR="00CF2F39" w:rsidRPr="00F80A39">
        <w:rPr>
          <w:rFonts w:ascii="Times New Roman" w:hAnsi="Times New Roman" w:cs="Times New Roman"/>
          <w:sz w:val="24"/>
          <w:szCs w:val="24"/>
        </w:rPr>
        <w:t xml:space="preserve">ETS-10 </w:t>
      </w:r>
      <w:r w:rsidR="009D7678" w:rsidRPr="00F80A39">
        <w:rPr>
          <w:rFonts w:ascii="Times New Roman" w:hAnsi="Times New Roman" w:cs="Times New Roman"/>
          <w:sz w:val="24"/>
          <w:szCs w:val="24"/>
        </w:rPr>
        <w:t xml:space="preserve">was considerably lower than for </w:t>
      </w:r>
      <w:r w:rsidR="00CF2F39" w:rsidRPr="00F80A39">
        <w:rPr>
          <w:rFonts w:ascii="Times New Roman" w:hAnsi="Times New Roman" w:cs="Times New Roman"/>
          <w:sz w:val="24"/>
          <w:szCs w:val="24"/>
        </w:rPr>
        <w:t>NaX and NaY</w:t>
      </w:r>
      <w:r w:rsidR="009D7678" w:rsidRPr="00F80A39">
        <w:rPr>
          <w:rFonts w:ascii="Times New Roman" w:hAnsi="Times New Roman" w:cs="Times New Roman"/>
          <w:sz w:val="24"/>
          <w:szCs w:val="24"/>
        </w:rPr>
        <w:t xml:space="preserve"> (16% of NaX and 32% of NaY). T</w:t>
      </w:r>
      <w:r w:rsidR="00CF2F39" w:rsidRPr="00F80A39">
        <w:rPr>
          <w:rFonts w:ascii="Times New Roman" w:hAnsi="Times New Roman" w:cs="Times New Roman"/>
          <w:sz w:val="24"/>
          <w:szCs w:val="24"/>
        </w:rPr>
        <w:t xml:space="preserve">he </w:t>
      </w:r>
      <w:r w:rsidR="009D7678" w:rsidRPr="00F80A39">
        <w:rPr>
          <w:rFonts w:ascii="Times New Roman" w:hAnsi="Times New Roman" w:cs="Times New Roman"/>
          <w:sz w:val="24"/>
          <w:szCs w:val="24"/>
        </w:rPr>
        <w:t xml:space="preserve">consumed </w:t>
      </w:r>
      <w:r w:rsidR="00CF2F39" w:rsidRPr="00F80A39">
        <w:rPr>
          <w:rFonts w:ascii="Times New Roman" w:hAnsi="Times New Roman" w:cs="Times New Roman"/>
          <w:sz w:val="24"/>
          <w:szCs w:val="24"/>
        </w:rPr>
        <w:t xml:space="preserve">energy </w:t>
      </w:r>
      <w:r w:rsidR="009D7678" w:rsidRPr="00F80A39">
        <w:rPr>
          <w:rFonts w:ascii="Times New Roman" w:hAnsi="Times New Roman" w:cs="Times New Roman"/>
          <w:sz w:val="24"/>
          <w:szCs w:val="24"/>
        </w:rPr>
        <w:t>for Na-ETS-10</w:t>
      </w:r>
      <w:r w:rsidR="00CF2F39" w:rsidRPr="00F80A39">
        <w:rPr>
          <w:rFonts w:ascii="Times New Roman" w:hAnsi="Times New Roman" w:cs="Times New Roman"/>
          <w:sz w:val="24"/>
          <w:szCs w:val="24"/>
        </w:rPr>
        <w:t xml:space="preserve"> </w:t>
      </w:r>
      <w:r w:rsidR="009D7678" w:rsidRPr="00F80A39">
        <w:rPr>
          <w:rFonts w:ascii="Times New Roman" w:hAnsi="Times New Roman" w:cs="Times New Roman"/>
          <w:sz w:val="24"/>
          <w:szCs w:val="24"/>
        </w:rPr>
        <w:t>(</w:t>
      </w:r>
      <w:r w:rsidR="00CF2F39" w:rsidRPr="00F80A39">
        <w:rPr>
          <w:rFonts w:ascii="Times New Roman" w:hAnsi="Times New Roman" w:cs="Times New Roman"/>
          <w:sz w:val="24"/>
          <w:szCs w:val="24"/>
        </w:rPr>
        <w:t>normalized by gram of the water desorbed</w:t>
      </w:r>
      <w:r w:rsidR="009D7678" w:rsidRPr="00F80A39">
        <w:rPr>
          <w:rFonts w:ascii="Times New Roman" w:hAnsi="Times New Roman" w:cs="Times New Roman"/>
          <w:sz w:val="24"/>
          <w:szCs w:val="24"/>
        </w:rPr>
        <w:t>) wa</w:t>
      </w:r>
      <w:r w:rsidR="00CF2F39" w:rsidRPr="00F80A39">
        <w:rPr>
          <w:rFonts w:ascii="Times New Roman" w:hAnsi="Times New Roman" w:cs="Times New Roman"/>
          <w:sz w:val="24"/>
          <w:szCs w:val="24"/>
        </w:rPr>
        <w:t xml:space="preserve">s </w:t>
      </w:r>
      <w:r w:rsidR="009D7678" w:rsidRPr="00F80A39">
        <w:rPr>
          <w:rFonts w:ascii="Times New Roman" w:hAnsi="Times New Roman" w:cs="Times New Roman"/>
          <w:sz w:val="24"/>
          <w:szCs w:val="24"/>
        </w:rPr>
        <w:t xml:space="preserve">equal to </w:t>
      </w:r>
      <w:r w:rsidR="00CF2F39" w:rsidRPr="00F80A39">
        <w:rPr>
          <w:rFonts w:ascii="Times New Roman" w:hAnsi="Times New Roman" w:cs="Times New Roman"/>
          <w:sz w:val="24"/>
          <w:szCs w:val="24"/>
        </w:rPr>
        <w:t>35</w:t>
      </w:r>
      <w:r w:rsidR="009D7678" w:rsidRPr="00F80A39">
        <w:rPr>
          <w:rFonts w:ascii="Times New Roman" w:hAnsi="Times New Roman" w:cs="Times New Roman"/>
          <w:sz w:val="24"/>
          <w:szCs w:val="24"/>
        </w:rPr>
        <w:t>% of NaX and 45</w:t>
      </w:r>
      <w:r w:rsidR="00CF2F39" w:rsidRPr="00F80A39">
        <w:rPr>
          <w:rFonts w:ascii="Times New Roman" w:hAnsi="Times New Roman" w:cs="Times New Roman"/>
          <w:sz w:val="24"/>
          <w:szCs w:val="24"/>
        </w:rPr>
        <w:t xml:space="preserve">% of </w:t>
      </w:r>
      <w:r w:rsidR="009D7678" w:rsidRPr="00F80A39">
        <w:rPr>
          <w:rFonts w:ascii="Times New Roman" w:hAnsi="Times New Roman" w:cs="Times New Roman"/>
          <w:sz w:val="24"/>
          <w:szCs w:val="24"/>
        </w:rPr>
        <w:t>NaY</w:t>
      </w:r>
      <w:r w:rsidR="00CF2F39" w:rsidRPr="00F80A39">
        <w:rPr>
          <w:rFonts w:ascii="Times New Roman" w:hAnsi="Times New Roman" w:cs="Times New Roman"/>
          <w:sz w:val="24"/>
          <w:szCs w:val="24"/>
        </w:rPr>
        <w:t xml:space="preserve">. </w:t>
      </w:r>
      <w:r w:rsidR="00840A30" w:rsidRPr="00F80A39">
        <w:rPr>
          <w:rFonts w:ascii="Times New Roman" w:hAnsi="Times New Roman" w:cs="Times New Roman"/>
          <w:sz w:val="24"/>
          <w:szCs w:val="24"/>
        </w:rPr>
        <w:t>Although the adsorption capacity of Na</w:t>
      </w:r>
      <w:r w:rsidR="00702564" w:rsidRPr="00F80A39">
        <w:rPr>
          <w:rFonts w:ascii="Times New Roman" w:hAnsi="Times New Roman" w:cs="Times New Roman"/>
          <w:sz w:val="24"/>
          <w:szCs w:val="24"/>
        </w:rPr>
        <w:t>-</w:t>
      </w:r>
      <w:r w:rsidR="009D7678" w:rsidRPr="00F80A39">
        <w:rPr>
          <w:rFonts w:ascii="Times New Roman" w:hAnsi="Times New Roman" w:cs="Times New Roman"/>
          <w:sz w:val="24"/>
          <w:szCs w:val="24"/>
        </w:rPr>
        <w:t>ETS-10 for water vapor wa</w:t>
      </w:r>
      <w:r w:rsidR="00840A30" w:rsidRPr="00F80A39">
        <w:rPr>
          <w:rFonts w:ascii="Times New Roman" w:hAnsi="Times New Roman" w:cs="Times New Roman"/>
          <w:sz w:val="24"/>
          <w:szCs w:val="24"/>
        </w:rPr>
        <w:t xml:space="preserve">s </w:t>
      </w:r>
      <w:r w:rsidR="009D7678" w:rsidRPr="00F80A39">
        <w:rPr>
          <w:rFonts w:ascii="Times New Roman" w:hAnsi="Times New Roman" w:cs="Times New Roman"/>
          <w:sz w:val="24"/>
          <w:szCs w:val="24"/>
        </w:rPr>
        <w:t>equal to 67% and 52% of NaY and NaX, it wa</w:t>
      </w:r>
      <w:r w:rsidR="00840A30" w:rsidRPr="00F80A39">
        <w:rPr>
          <w:rFonts w:ascii="Times New Roman" w:hAnsi="Times New Roman" w:cs="Times New Roman"/>
          <w:sz w:val="24"/>
          <w:szCs w:val="24"/>
        </w:rPr>
        <w:t xml:space="preserve">s easier to dry. </w:t>
      </w:r>
      <w:r w:rsidR="00D45E27" w:rsidRPr="00F80A39">
        <w:rPr>
          <w:rFonts w:ascii="Times New Roman" w:hAnsi="Times New Roman" w:cs="Times New Roman"/>
          <w:sz w:val="24"/>
          <w:szCs w:val="24"/>
        </w:rPr>
        <w:t xml:space="preserve">The adsorption capacity of </w:t>
      </w:r>
      <w:r w:rsidR="00702564" w:rsidRPr="00F80A39">
        <w:rPr>
          <w:rFonts w:ascii="Times New Roman" w:hAnsi="Times New Roman" w:cs="Times New Roman"/>
          <w:sz w:val="24"/>
          <w:szCs w:val="24"/>
        </w:rPr>
        <w:t>Na-</w:t>
      </w:r>
      <w:r w:rsidR="00D45E27" w:rsidRPr="00F80A39">
        <w:rPr>
          <w:rFonts w:ascii="Times New Roman" w:hAnsi="Times New Roman" w:cs="Times New Roman"/>
          <w:sz w:val="24"/>
          <w:szCs w:val="24"/>
        </w:rPr>
        <w:t>ETS-10 for CH</w:t>
      </w:r>
      <w:r w:rsidR="00D45E27" w:rsidRPr="00F80A39">
        <w:rPr>
          <w:rFonts w:ascii="Times New Roman" w:hAnsi="Times New Roman" w:cs="Times New Roman"/>
          <w:sz w:val="24"/>
          <w:szCs w:val="24"/>
          <w:vertAlign w:val="subscript"/>
        </w:rPr>
        <w:t>4</w:t>
      </w:r>
      <w:r w:rsidR="00D45E27" w:rsidRPr="00F80A39">
        <w:rPr>
          <w:rFonts w:ascii="Times New Roman" w:hAnsi="Times New Roman" w:cs="Times New Roman"/>
          <w:sz w:val="24"/>
          <w:szCs w:val="24"/>
        </w:rPr>
        <w:t xml:space="preserve"> is comparable to that of NaX and NaY. However, its adsorption capacity for CO</w:t>
      </w:r>
      <w:r w:rsidR="00D45E27" w:rsidRPr="00F80A39">
        <w:rPr>
          <w:rFonts w:ascii="Times New Roman" w:hAnsi="Times New Roman" w:cs="Times New Roman"/>
          <w:sz w:val="24"/>
          <w:szCs w:val="24"/>
          <w:vertAlign w:val="subscript"/>
        </w:rPr>
        <w:t>2</w:t>
      </w:r>
      <w:r w:rsidR="00D45E27" w:rsidRPr="00F80A39">
        <w:rPr>
          <w:rFonts w:ascii="Times New Roman" w:hAnsi="Times New Roman" w:cs="Times New Roman"/>
          <w:sz w:val="24"/>
          <w:szCs w:val="24"/>
        </w:rPr>
        <w:t xml:space="preserve"> is </w:t>
      </w:r>
      <w:r w:rsidR="009D7678" w:rsidRPr="00F80A39">
        <w:rPr>
          <w:rFonts w:ascii="Times New Roman" w:hAnsi="Times New Roman" w:cs="Times New Roman"/>
          <w:sz w:val="24"/>
          <w:szCs w:val="24"/>
        </w:rPr>
        <w:t xml:space="preserve">equal to </w:t>
      </w:r>
      <w:r w:rsidR="00D45E27" w:rsidRPr="00F80A39">
        <w:rPr>
          <w:rFonts w:ascii="Times New Roman" w:hAnsi="Times New Roman" w:cs="Times New Roman"/>
          <w:sz w:val="24"/>
          <w:szCs w:val="24"/>
        </w:rPr>
        <w:t xml:space="preserve">40% of </w:t>
      </w:r>
      <w:r w:rsidR="009D7678" w:rsidRPr="00F80A39">
        <w:rPr>
          <w:rFonts w:ascii="Times New Roman" w:hAnsi="Times New Roman" w:cs="Times New Roman"/>
          <w:sz w:val="24"/>
          <w:szCs w:val="24"/>
        </w:rPr>
        <w:t xml:space="preserve">the adsorption capacities of either </w:t>
      </w:r>
      <w:r w:rsidR="00D45E27" w:rsidRPr="00F80A39">
        <w:rPr>
          <w:rFonts w:ascii="Times New Roman" w:hAnsi="Times New Roman" w:cs="Times New Roman"/>
          <w:sz w:val="24"/>
          <w:szCs w:val="24"/>
        </w:rPr>
        <w:t>NaX or NaY.</w:t>
      </w:r>
    </w:p>
    <w:p w14:paraId="1EDC57DB" w14:textId="732021D8" w:rsidR="00896049" w:rsidRPr="00F80A39" w:rsidRDefault="00702564" w:rsidP="009453F0">
      <w:pPr>
        <w:pStyle w:val="Caption"/>
        <w:jc w:val="center"/>
        <w:rPr>
          <w:rFonts w:ascii="Times New Roman" w:hAnsi="Times New Roman" w:cs="Times New Roman"/>
          <w:color w:val="auto"/>
          <w:sz w:val="24"/>
          <w:szCs w:val="24"/>
        </w:rPr>
      </w:pPr>
      <w:r w:rsidRPr="00F80A39">
        <w:rPr>
          <w:rFonts w:ascii="Times New Roman" w:hAnsi="Times New Roman" w:cs="Times New Roman"/>
          <w:color w:val="auto"/>
          <w:sz w:val="24"/>
          <w:szCs w:val="24"/>
        </w:rPr>
        <w:t xml:space="preserve">Table </w:t>
      </w:r>
      <w:r w:rsidRPr="00F80A39">
        <w:rPr>
          <w:rFonts w:ascii="Times New Roman" w:hAnsi="Times New Roman" w:cs="Times New Roman"/>
          <w:color w:val="auto"/>
          <w:sz w:val="24"/>
          <w:szCs w:val="24"/>
        </w:rPr>
        <w:fldChar w:fldCharType="begin"/>
      </w:r>
      <w:r w:rsidRPr="00F80A39">
        <w:rPr>
          <w:rFonts w:ascii="Times New Roman" w:hAnsi="Times New Roman" w:cs="Times New Roman"/>
          <w:color w:val="auto"/>
          <w:sz w:val="24"/>
          <w:szCs w:val="24"/>
        </w:rPr>
        <w:instrText xml:space="preserve"> SEQ Table_4- \* ARABIC </w:instrText>
      </w:r>
      <w:r w:rsidRPr="00F80A39">
        <w:rPr>
          <w:rFonts w:ascii="Times New Roman" w:hAnsi="Times New Roman" w:cs="Times New Roman"/>
          <w:color w:val="auto"/>
          <w:sz w:val="24"/>
          <w:szCs w:val="24"/>
        </w:rPr>
        <w:fldChar w:fldCharType="separate"/>
      </w:r>
      <w:r w:rsidR="00357FB2" w:rsidRPr="00F80A39">
        <w:rPr>
          <w:rFonts w:ascii="Times New Roman" w:hAnsi="Times New Roman" w:cs="Times New Roman"/>
          <w:noProof/>
          <w:color w:val="auto"/>
          <w:sz w:val="24"/>
          <w:szCs w:val="24"/>
        </w:rPr>
        <w:t>1</w:t>
      </w:r>
      <w:r w:rsidRPr="00F80A39">
        <w:rPr>
          <w:rFonts w:ascii="Times New Roman" w:hAnsi="Times New Roman" w:cs="Times New Roman"/>
          <w:color w:val="auto"/>
          <w:sz w:val="24"/>
          <w:szCs w:val="24"/>
        </w:rPr>
        <w:fldChar w:fldCharType="end"/>
      </w:r>
      <w:r w:rsidRPr="00F80A39">
        <w:rPr>
          <w:rFonts w:ascii="Times New Roman" w:hAnsi="Times New Roman" w:cs="Times New Roman"/>
          <w:color w:val="auto"/>
          <w:sz w:val="24"/>
          <w:szCs w:val="24"/>
        </w:rPr>
        <w:t xml:space="preserve">: </w:t>
      </w:r>
      <w:r w:rsidR="00A40191" w:rsidRPr="00F80A39">
        <w:rPr>
          <w:rFonts w:ascii="Times New Roman" w:hAnsi="Times New Roman" w:cs="Times New Roman"/>
          <w:color w:val="auto"/>
          <w:sz w:val="24"/>
          <w:szCs w:val="24"/>
        </w:rPr>
        <w:t xml:space="preserve">Comparison of adsorption and microwave drying </w:t>
      </w:r>
      <w:r w:rsidRPr="00F80A39">
        <w:rPr>
          <w:rFonts w:ascii="Times New Roman" w:hAnsi="Times New Roman" w:cs="Times New Roman"/>
          <w:color w:val="auto"/>
          <w:sz w:val="24"/>
          <w:szCs w:val="24"/>
        </w:rPr>
        <w:t>properties</w:t>
      </w:r>
      <w:r w:rsidR="00A40191" w:rsidRPr="00F80A39">
        <w:rPr>
          <w:rFonts w:ascii="Times New Roman" w:hAnsi="Times New Roman" w:cs="Times New Roman"/>
          <w:color w:val="auto"/>
          <w:sz w:val="24"/>
          <w:szCs w:val="24"/>
        </w:rPr>
        <w:t xml:space="preserve"> of Na-X, Na-Y and Na-ETS-10 at laboratory scale</w:t>
      </w:r>
    </w:p>
    <w:tbl>
      <w:tblPr>
        <w:tblStyle w:val="TableGrid"/>
        <w:tblW w:w="9281" w:type="dxa"/>
        <w:tblInd w:w="108" w:type="dxa"/>
        <w:tblLayout w:type="fixed"/>
        <w:tblLook w:val="04A0" w:firstRow="1" w:lastRow="0" w:firstColumn="1" w:lastColumn="0" w:noHBand="0" w:noVBand="1"/>
      </w:tblPr>
      <w:tblGrid>
        <w:gridCol w:w="1418"/>
        <w:gridCol w:w="1914"/>
        <w:gridCol w:w="1778"/>
        <w:gridCol w:w="1316"/>
        <w:gridCol w:w="965"/>
        <w:gridCol w:w="938"/>
        <w:gridCol w:w="952"/>
      </w:tblGrid>
      <w:tr w:rsidR="00702564" w:rsidRPr="00F80A39" w14:paraId="4A76144D" w14:textId="77777777" w:rsidTr="00702564">
        <w:trPr>
          <w:cnfStyle w:val="100000000000" w:firstRow="1" w:lastRow="0" w:firstColumn="0" w:lastColumn="0" w:oddVBand="0" w:evenVBand="0" w:oddHBand="0" w:evenHBand="0" w:firstRowFirstColumn="0" w:firstRowLastColumn="0" w:lastRowFirstColumn="0" w:lastRowLastColumn="0"/>
          <w:trHeight w:val="300"/>
        </w:trPr>
        <w:tc>
          <w:tcPr>
            <w:tcW w:w="1418" w:type="dxa"/>
            <w:tcBorders>
              <w:bottom w:val="nil"/>
              <w:right w:val="single" w:sz="4" w:space="0" w:color="auto"/>
            </w:tcBorders>
            <w:noWrap/>
          </w:tcPr>
          <w:p w14:paraId="6C025A5A" w14:textId="77777777" w:rsidR="00026B68" w:rsidRPr="00F80A39" w:rsidRDefault="00026B68" w:rsidP="00A376FA">
            <w:pPr>
              <w:rPr>
                <w:rFonts w:eastAsia="Times New Roman" w:cs="Times New Roman"/>
                <w:b w:val="0"/>
                <w:color w:val="000000"/>
                <w:szCs w:val="24"/>
              </w:rPr>
            </w:pPr>
          </w:p>
        </w:tc>
        <w:tc>
          <w:tcPr>
            <w:tcW w:w="5008" w:type="dxa"/>
            <w:gridSpan w:val="3"/>
            <w:tcBorders>
              <w:left w:val="single" w:sz="4" w:space="0" w:color="auto"/>
              <w:right w:val="single" w:sz="4" w:space="0" w:color="auto"/>
            </w:tcBorders>
            <w:noWrap/>
          </w:tcPr>
          <w:p w14:paraId="31513258" w14:textId="4ADFE0CA" w:rsidR="00026B68" w:rsidRPr="00F80A39" w:rsidRDefault="00702564" w:rsidP="00702564">
            <w:pPr>
              <w:jc w:val="center"/>
              <w:rPr>
                <w:rFonts w:eastAsia="Times New Roman" w:cs="Times New Roman"/>
                <w:b w:val="0"/>
                <w:color w:val="000000"/>
                <w:szCs w:val="24"/>
              </w:rPr>
            </w:pPr>
            <w:r w:rsidRPr="00F80A39">
              <w:rPr>
                <w:rFonts w:eastAsia="Times New Roman" w:cs="Times New Roman"/>
                <w:b w:val="0"/>
                <w:color w:val="000000"/>
                <w:szCs w:val="24"/>
              </w:rPr>
              <w:t>Microwave</w:t>
            </w:r>
            <w:r w:rsidR="00026B68" w:rsidRPr="00F80A39">
              <w:rPr>
                <w:rFonts w:eastAsia="Times New Roman" w:cs="Times New Roman"/>
                <w:b w:val="0"/>
                <w:color w:val="000000"/>
                <w:szCs w:val="24"/>
              </w:rPr>
              <w:t xml:space="preserve"> drying of adsorbent</w:t>
            </w:r>
          </w:p>
        </w:tc>
        <w:tc>
          <w:tcPr>
            <w:tcW w:w="2855" w:type="dxa"/>
            <w:gridSpan w:val="3"/>
            <w:tcBorders>
              <w:left w:val="single" w:sz="4" w:space="0" w:color="auto"/>
            </w:tcBorders>
          </w:tcPr>
          <w:p w14:paraId="1305395B" w14:textId="5B2A26B0" w:rsidR="00026B68" w:rsidRPr="00F80A39" w:rsidRDefault="00026B68" w:rsidP="00702564">
            <w:pPr>
              <w:rPr>
                <w:rFonts w:eastAsia="Times New Roman" w:cs="Times New Roman"/>
                <w:b w:val="0"/>
                <w:color w:val="000000"/>
                <w:szCs w:val="24"/>
              </w:rPr>
            </w:pPr>
            <w:r w:rsidRPr="00F80A39">
              <w:rPr>
                <w:rFonts w:eastAsia="Times New Roman" w:cs="Times New Roman"/>
                <w:b w:val="0"/>
                <w:color w:val="000000"/>
                <w:szCs w:val="24"/>
              </w:rPr>
              <w:t xml:space="preserve">Adsorption capacity </w:t>
            </w:r>
          </w:p>
        </w:tc>
      </w:tr>
      <w:tr w:rsidR="00702564" w:rsidRPr="00F80A39" w14:paraId="06600DD3" w14:textId="77777777" w:rsidTr="00702564">
        <w:trPr>
          <w:cnfStyle w:val="000000100000" w:firstRow="0" w:lastRow="0" w:firstColumn="0" w:lastColumn="0" w:oddVBand="0" w:evenVBand="0" w:oddHBand="1" w:evenHBand="0" w:firstRowFirstColumn="0" w:firstRowLastColumn="0" w:lastRowFirstColumn="0" w:lastRowLastColumn="0"/>
          <w:trHeight w:val="300"/>
        </w:trPr>
        <w:tc>
          <w:tcPr>
            <w:tcW w:w="1418" w:type="dxa"/>
            <w:tcBorders>
              <w:bottom w:val="single" w:sz="4" w:space="0" w:color="auto"/>
              <w:right w:val="single" w:sz="4" w:space="0" w:color="auto"/>
            </w:tcBorders>
            <w:noWrap/>
            <w:hideMark/>
          </w:tcPr>
          <w:p w14:paraId="2EF5A950" w14:textId="77777777" w:rsidR="00026B68" w:rsidRPr="00F80A39" w:rsidRDefault="00026B68" w:rsidP="00A376FA">
            <w:pPr>
              <w:rPr>
                <w:rFonts w:eastAsia="Times New Roman" w:cs="Times New Roman"/>
                <w:color w:val="000000"/>
                <w:szCs w:val="24"/>
              </w:rPr>
            </w:pPr>
            <w:r w:rsidRPr="00F80A39">
              <w:rPr>
                <w:rFonts w:eastAsia="Times New Roman" w:cs="Times New Roman"/>
                <w:color w:val="000000"/>
                <w:szCs w:val="24"/>
              </w:rPr>
              <w:t>Adsorbent</w:t>
            </w:r>
          </w:p>
        </w:tc>
        <w:tc>
          <w:tcPr>
            <w:tcW w:w="1914" w:type="dxa"/>
            <w:tcBorders>
              <w:left w:val="single" w:sz="4" w:space="0" w:color="auto"/>
              <w:bottom w:val="single" w:sz="4" w:space="0" w:color="auto"/>
            </w:tcBorders>
            <w:noWrap/>
            <w:hideMark/>
          </w:tcPr>
          <w:p w14:paraId="216D25A6" w14:textId="77777777" w:rsidR="00026B68" w:rsidRPr="00F80A39" w:rsidRDefault="00026B68" w:rsidP="00A376FA">
            <w:pPr>
              <w:rPr>
                <w:rFonts w:eastAsia="Times New Roman" w:cs="Times New Roman"/>
                <w:color w:val="000000"/>
                <w:szCs w:val="24"/>
              </w:rPr>
            </w:pPr>
            <w:r w:rsidRPr="00F80A39">
              <w:rPr>
                <w:rFonts w:eastAsia="Times New Roman" w:cs="Times New Roman"/>
                <w:color w:val="000000"/>
                <w:szCs w:val="24"/>
              </w:rPr>
              <w:t>Energy consumption (KJ/g desorbed water)</w:t>
            </w:r>
          </w:p>
        </w:tc>
        <w:tc>
          <w:tcPr>
            <w:tcW w:w="1778" w:type="dxa"/>
            <w:tcBorders>
              <w:bottom w:val="single" w:sz="4" w:space="0" w:color="auto"/>
            </w:tcBorders>
            <w:noWrap/>
            <w:hideMark/>
          </w:tcPr>
          <w:p w14:paraId="734A24FF"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Energy consumption (KJ/g adsorbent)</w:t>
            </w:r>
          </w:p>
        </w:tc>
        <w:tc>
          <w:tcPr>
            <w:tcW w:w="1316" w:type="dxa"/>
            <w:tcBorders>
              <w:bottom w:val="single" w:sz="4" w:space="0" w:color="auto"/>
              <w:right w:val="single" w:sz="4" w:space="0" w:color="auto"/>
            </w:tcBorders>
            <w:noWrap/>
            <w:hideMark/>
          </w:tcPr>
          <w:p w14:paraId="7E7A46B7"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Dehydration (%)</w:t>
            </w:r>
          </w:p>
        </w:tc>
        <w:tc>
          <w:tcPr>
            <w:tcW w:w="965" w:type="dxa"/>
            <w:tcBorders>
              <w:left w:val="single" w:sz="4" w:space="0" w:color="auto"/>
              <w:bottom w:val="single" w:sz="4" w:space="0" w:color="auto"/>
            </w:tcBorders>
          </w:tcPr>
          <w:p w14:paraId="33F7D2E4" w14:textId="45C93470"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Water</w:t>
            </w:r>
            <w:r w:rsidR="00702564" w:rsidRPr="00F80A39">
              <w:rPr>
                <w:rFonts w:eastAsia="Times New Roman" w:cs="Times New Roman"/>
                <w:color w:val="000000"/>
                <w:szCs w:val="24"/>
              </w:rPr>
              <w:t xml:space="preserve"> (mmol/g)</w:t>
            </w:r>
          </w:p>
        </w:tc>
        <w:tc>
          <w:tcPr>
            <w:tcW w:w="938" w:type="dxa"/>
            <w:tcBorders>
              <w:bottom w:val="single" w:sz="4" w:space="0" w:color="auto"/>
            </w:tcBorders>
          </w:tcPr>
          <w:p w14:paraId="45624AC5" w14:textId="7CF2BEDA"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CO</w:t>
            </w:r>
            <w:r w:rsidRPr="00F80A39">
              <w:rPr>
                <w:rFonts w:eastAsia="Times New Roman" w:cs="Times New Roman"/>
                <w:color w:val="000000"/>
                <w:szCs w:val="24"/>
                <w:vertAlign w:val="subscript"/>
              </w:rPr>
              <w:t>2</w:t>
            </w:r>
            <w:r w:rsidR="00702564" w:rsidRPr="00F80A39">
              <w:rPr>
                <w:rFonts w:eastAsia="Times New Roman" w:cs="Times New Roman"/>
                <w:color w:val="000000"/>
                <w:szCs w:val="24"/>
                <w:vertAlign w:val="subscript"/>
              </w:rPr>
              <w:t xml:space="preserve"> </w:t>
            </w:r>
            <w:r w:rsidR="00702564" w:rsidRPr="00F80A39">
              <w:rPr>
                <w:rFonts w:eastAsia="Times New Roman" w:cs="Times New Roman"/>
                <w:color w:val="000000"/>
                <w:szCs w:val="24"/>
              </w:rPr>
              <w:t>(mmol/g)</w:t>
            </w:r>
          </w:p>
        </w:tc>
        <w:tc>
          <w:tcPr>
            <w:tcW w:w="952" w:type="dxa"/>
            <w:tcBorders>
              <w:bottom w:val="single" w:sz="4" w:space="0" w:color="auto"/>
            </w:tcBorders>
          </w:tcPr>
          <w:p w14:paraId="66DB4E84" w14:textId="51A54DD3"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CH</w:t>
            </w:r>
            <w:r w:rsidRPr="00F80A39">
              <w:rPr>
                <w:rFonts w:eastAsia="Times New Roman" w:cs="Times New Roman"/>
                <w:color w:val="000000"/>
                <w:szCs w:val="24"/>
                <w:vertAlign w:val="subscript"/>
              </w:rPr>
              <w:t>4</w:t>
            </w:r>
            <w:r w:rsidR="00702564" w:rsidRPr="00F80A39">
              <w:rPr>
                <w:rFonts w:eastAsia="Times New Roman" w:cs="Times New Roman"/>
                <w:color w:val="000000"/>
                <w:szCs w:val="24"/>
                <w:vertAlign w:val="subscript"/>
              </w:rPr>
              <w:t xml:space="preserve"> </w:t>
            </w:r>
            <w:r w:rsidR="00702564" w:rsidRPr="00F80A39">
              <w:rPr>
                <w:rFonts w:eastAsia="Times New Roman" w:cs="Times New Roman"/>
                <w:color w:val="000000"/>
                <w:szCs w:val="24"/>
              </w:rPr>
              <w:t>(mmol/g)</w:t>
            </w:r>
          </w:p>
        </w:tc>
      </w:tr>
      <w:tr w:rsidR="00702564" w:rsidRPr="00F80A39" w14:paraId="104E85C0" w14:textId="77777777" w:rsidTr="00702564">
        <w:trPr>
          <w:cnfStyle w:val="000000010000" w:firstRow="0" w:lastRow="0" w:firstColumn="0" w:lastColumn="0" w:oddVBand="0" w:evenVBand="0" w:oddHBand="0" w:evenHBand="1" w:firstRowFirstColumn="0" w:firstRowLastColumn="0" w:lastRowFirstColumn="0" w:lastRowLastColumn="0"/>
          <w:trHeight w:val="300"/>
        </w:trPr>
        <w:tc>
          <w:tcPr>
            <w:tcW w:w="1418" w:type="dxa"/>
            <w:tcBorders>
              <w:top w:val="single" w:sz="4" w:space="0" w:color="auto"/>
              <w:right w:val="single" w:sz="4" w:space="0" w:color="auto"/>
            </w:tcBorders>
            <w:noWrap/>
            <w:vAlign w:val="center"/>
          </w:tcPr>
          <w:p w14:paraId="2DFF1266" w14:textId="33370DC1" w:rsidR="00026B68" w:rsidRPr="00F80A39" w:rsidRDefault="00026B68" w:rsidP="00702564">
            <w:pPr>
              <w:rPr>
                <w:rFonts w:eastAsia="Times New Roman" w:cs="Times New Roman"/>
                <w:color w:val="000000"/>
                <w:szCs w:val="24"/>
              </w:rPr>
            </w:pPr>
            <w:r w:rsidRPr="00F80A39">
              <w:rPr>
                <w:rFonts w:eastAsia="Times New Roman" w:cs="Times New Roman"/>
                <w:color w:val="000000"/>
                <w:szCs w:val="24"/>
              </w:rPr>
              <w:t>Na-X</w:t>
            </w:r>
            <w:r w:rsidRPr="00F80A39">
              <w:rPr>
                <w:rFonts w:eastAsia="Times New Roman" w:cs="Times New Roman"/>
                <w:color w:val="000000"/>
                <w:szCs w:val="24"/>
                <w:vertAlign w:val="superscript"/>
              </w:rPr>
              <w:t>a</w:t>
            </w:r>
          </w:p>
        </w:tc>
        <w:tc>
          <w:tcPr>
            <w:tcW w:w="1914" w:type="dxa"/>
            <w:tcBorders>
              <w:top w:val="single" w:sz="4" w:space="0" w:color="auto"/>
              <w:left w:val="single" w:sz="4" w:space="0" w:color="auto"/>
            </w:tcBorders>
            <w:noWrap/>
            <w:vAlign w:val="center"/>
          </w:tcPr>
          <w:p w14:paraId="2D71961E"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53.8</w:t>
            </w:r>
          </w:p>
        </w:tc>
        <w:tc>
          <w:tcPr>
            <w:tcW w:w="1778" w:type="dxa"/>
            <w:tcBorders>
              <w:top w:val="single" w:sz="4" w:space="0" w:color="auto"/>
            </w:tcBorders>
            <w:noWrap/>
            <w:vAlign w:val="center"/>
          </w:tcPr>
          <w:p w14:paraId="7998C62D"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 w:val="24"/>
                <w:szCs w:val="24"/>
              </w:rPr>
              <w:t>14.5</w:t>
            </w:r>
          </w:p>
        </w:tc>
        <w:tc>
          <w:tcPr>
            <w:tcW w:w="1316" w:type="dxa"/>
            <w:tcBorders>
              <w:top w:val="single" w:sz="4" w:space="0" w:color="auto"/>
              <w:right w:val="single" w:sz="4" w:space="0" w:color="auto"/>
            </w:tcBorders>
            <w:noWrap/>
            <w:vAlign w:val="center"/>
          </w:tcPr>
          <w:p w14:paraId="74F79EE9"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~100</w:t>
            </w:r>
          </w:p>
        </w:tc>
        <w:tc>
          <w:tcPr>
            <w:tcW w:w="965" w:type="dxa"/>
            <w:tcBorders>
              <w:top w:val="single" w:sz="4" w:space="0" w:color="auto"/>
              <w:left w:val="single" w:sz="4" w:space="0" w:color="auto"/>
            </w:tcBorders>
            <w:vAlign w:val="center"/>
          </w:tcPr>
          <w:p w14:paraId="5A984681" w14:textId="2ECB45EB" w:rsidR="00026B68" w:rsidRPr="00F80A39" w:rsidRDefault="00026B68" w:rsidP="00702564">
            <w:pPr>
              <w:ind w:left="-67" w:right="-67"/>
              <w:jc w:val="center"/>
              <w:rPr>
                <w:rFonts w:eastAsia="Times New Roman" w:cs="Times New Roman"/>
                <w:color w:val="000000"/>
                <w:szCs w:val="24"/>
              </w:rPr>
            </w:pPr>
            <w:r w:rsidRPr="00F80A39">
              <w:t>15.0</w:t>
            </w:r>
            <w:r w:rsidR="00702564" w:rsidRPr="00F80A39">
              <w:rPr>
                <w:rFonts w:eastAsia="Times New Roman" w:cs="Times New Roman"/>
                <w:color w:val="000000"/>
                <w:szCs w:val="24"/>
                <w:vertAlign w:val="superscript"/>
              </w:rPr>
              <w:t>a</w:t>
            </w:r>
          </w:p>
        </w:tc>
        <w:tc>
          <w:tcPr>
            <w:tcW w:w="938" w:type="dxa"/>
            <w:tcBorders>
              <w:top w:val="single" w:sz="4" w:space="0" w:color="auto"/>
            </w:tcBorders>
            <w:vAlign w:val="center"/>
          </w:tcPr>
          <w:p w14:paraId="1ED5B86E" w14:textId="77777777"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5.0</w:t>
            </w:r>
            <w:r w:rsidRPr="00F80A39">
              <w:rPr>
                <w:rFonts w:eastAsia="Times New Roman" w:cs="Times New Roman"/>
                <w:color w:val="000000"/>
                <w:szCs w:val="24"/>
                <w:vertAlign w:val="superscript"/>
              </w:rPr>
              <w:t>b</w:t>
            </w:r>
          </w:p>
        </w:tc>
        <w:tc>
          <w:tcPr>
            <w:tcW w:w="952" w:type="dxa"/>
            <w:tcBorders>
              <w:top w:val="single" w:sz="4" w:space="0" w:color="auto"/>
            </w:tcBorders>
            <w:vAlign w:val="center"/>
          </w:tcPr>
          <w:p w14:paraId="08110737" w14:textId="77777777"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0.9</w:t>
            </w:r>
            <w:r w:rsidRPr="00F80A39">
              <w:rPr>
                <w:rFonts w:eastAsia="Times New Roman" w:cs="Times New Roman"/>
                <w:color w:val="000000"/>
                <w:szCs w:val="24"/>
                <w:vertAlign w:val="superscript"/>
              </w:rPr>
              <w:t>c</w:t>
            </w:r>
          </w:p>
        </w:tc>
      </w:tr>
      <w:tr w:rsidR="00702564" w:rsidRPr="00F80A39" w14:paraId="2518F0CF" w14:textId="77777777" w:rsidTr="00702564">
        <w:trPr>
          <w:cnfStyle w:val="000000100000" w:firstRow="0" w:lastRow="0" w:firstColumn="0" w:lastColumn="0" w:oddVBand="0" w:evenVBand="0" w:oddHBand="1" w:evenHBand="0" w:firstRowFirstColumn="0" w:firstRowLastColumn="0" w:lastRowFirstColumn="0" w:lastRowLastColumn="0"/>
          <w:trHeight w:val="300"/>
        </w:trPr>
        <w:tc>
          <w:tcPr>
            <w:tcW w:w="1418" w:type="dxa"/>
            <w:tcBorders>
              <w:right w:val="single" w:sz="4" w:space="0" w:color="auto"/>
            </w:tcBorders>
            <w:noWrap/>
            <w:vAlign w:val="center"/>
            <w:hideMark/>
          </w:tcPr>
          <w:p w14:paraId="2F6DD624" w14:textId="3F5C84ED" w:rsidR="00026B68" w:rsidRPr="00F80A39" w:rsidRDefault="00026B68" w:rsidP="00702564">
            <w:pPr>
              <w:rPr>
                <w:rFonts w:eastAsia="Times New Roman" w:cs="Times New Roman"/>
                <w:color w:val="000000"/>
                <w:szCs w:val="24"/>
              </w:rPr>
            </w:pPr>
            <w:r w:rsidRPr="00F80A39">
              <w:rPr>
                <w:rFonts w:eastAsia="Times New Roman" w:cs="Times New Roman"/>
                <w:color w:val="000000"/>
                <w:szCs w:val="24"/>
              </w:rPr>
              <w:t>Na-Y</w:t>
            </w:r>
            <w:r w:rsidRPr="00F80A39">
              <w:rPr>
                <w:rFonts w:eastAsia="Times New Roman" w:cs="Times New Roman"/>
                <w:color w:val="000000"/>
                <w:szCs w:val="24"/>
                <w:vertAlign w:val="superscript"/>
              </w:rPr>
              <w:t>a</w:t>
            </w:r>
          </w:p>
        </w:tc>
        <w:tc>
          <w:tcPr>
            <w:tcW w:w="1914" w:type="dxa"/>
            <w:tcBorders>
              <w:left w:val="single" w:sz="4" w:space="0" w:color="auto"/>
            </w:tcBorders>
            <w:noWrap/>
            <w:vAlign w:val="center"/>
            <w:hideMark/>
          </w:tcPr>
          <w:p w14:paraId="23BCF02E"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41.1</w:t>
            </w:r>
          </w:p>
        </w:tc>
        <w:tc>
          <w:tcPr>
            <w:tcW w:w="1778" w:type="dxa"/>
            <w:noWrap/>
            <w:vAlign w:val="center"/>
            <w:hideMark/>
          </w:tcPr>
          <w:p w14:paraId="2256EB08"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7.1</w:t>
            </w:r>
          </w:p>
        </w:tc>
        <w:tc>
          <w:tcPr>
            <w:tcW w:w="1316" w:type="dxa"/>
            <w:tcBorders>
              <w:right w:val="single" w:sz="4" w:space="0" w:color="auto"/>
            </w:tcBorders>
            <w:noWrap/>
            <w:vAlign w:val="center"/>
            <w:hideMark/>
          </w:tcPr>
          <w:p w14:paraId="7B834EF8"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~81</w:t>
            </w:r>
          </w:p>
        </w:tc>
        <w:tc>
          <w:tcPr>
            <w:tcW w:w="965" w:type="dxa"/>
            <w:tcBorders>
              <w:left w:val="single" w:sz="4" w:space="0" w:color="auto"/>
            </w:tcBorders>
            <w:vAlign w:val="center"/>
          </w:tcPr>
          <w:p w14:paraId="777981B7" w14:textId="474624D5" w:rsidR="00026B68" w:rsidRPr="00F80A39" w:rsidRDefault="00026B68" w:rsidP="00702564">
            <w:pPr>
              <w:ind w:left="-67" w:right="-67"/>
              <w:jc w:val="center"/>
              <w:rPr>
                <w:rFonts w:eastAsia="Times New Roman" w:cs="Times New Roman"/>
                <w:color w:val="000000"/>
                <w:szCs w:val="24"/>
              </w:rPr>
            </w:pPr>
            <w:r w:rsidRPr="00F80A39">
              <w:t>11.7</w:t>
            </w:r>
            <w:r w:rsidR="00702564" w:rsidRPr="00F80A39">
              <w:rPr>
                <w:rFonts w:eastAsia="Times New Roman" w:cs="Times New Roman"/>
                <w:color w:val="000000"/>
                <w:szCs w:val="24"/>
                <w:vertAlign w:val="superscript"/>
              </w:rPr>
              <w:t>a</w:t>
            </w:r>
          </w:p>
        </w:tc>
        <w:tc>
          <w:tcPr>
            <w:tcW w:w="938" w:type="dxa"/>
            <w:vAlign w:val="center"/>
          </w:tcPr>
          <w:p w14:paraId="0B7252D4" w14:textId="77777777"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5.2</w:t>
            </w:r>
            <w:r w:rsidRPr="00F80A39">
              <w:rPr>
                <w:rFonts w:eastAsia="Times New Roman" w:cs="Times New Roman"/>
                <w:color w:val="000000"/>
                <w:szCs w:val="24"/>
                <w:vertAlign w:val="superscript"/>
              </w:rPr>
              <w:t xml:space="preserve"> b</w:t>
            </w:r>
          </w:p>
        </w:tc>
        <w:tc>
          <w:tcPr>
            <w:tcW w:w="952" w:type="dxa"/>
            <w:vAlign w:val="center"/>
          </w:tcPr>
          <w:p w14:paraId="3BE0408B" w14:textId="77777777"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0.7</w:t>
            </w:r>
            <w:r w:rsidRPr="00F80A39">
              <w:rPr>
                <w:rFonts w:eastAsia="Times New Roman" w:cs="Times New Roman"/>
                <w:color w:val="000000"/>
                <w:szCs w:val="24"/>
                <w:vertAlign w:val="superscript"/>
              </w:rPr>
              <w:t xml:space="preserve"> c</w:t>
            </w:r>
          </w:p>
        </w:tc>
      </w:tr>
      <w:tr w:rsidR="00702564" w:rsidRPr="00F80A39" w14:paraId="35B0D7D7" w14:textId="77777777" w:rsidTr="00702564">
        <w:trPr>
          <w:cnfStyle w:val="000000010000" w:firstRow="0" w:lastRow="0" w:firstColumn="0" w:lastColumn="0" w:oddVBand="0" w:evenVBand="0" w:oddHBand="0" w:evenHBand="1" w:firstRowFirstColumn="0" w:firstRowLastColumn="0" w:lastRowFirstColumn="0" w:lastRowLastColumn="0"/>
          <w:trHeight w:val="300"/>
        </w:trPr>
        <w:tc>
          <w:tcPr>
            <w:tcW w:w="1418" w:type="dxa"/>
            <w:tcBorders>
              <w:bottom w:val="single" w:sz="4" w:space="0" w:color="auto"/>
              <w:right w:val="single" w:sz="4" w:space="0" w:color="auto"/>
            </w:tcBorders>
            <w:noWrap/>
            <w:vAlign w:val="center"/>
            <w:hideMark/>
          </w:tcPr>
          <w:p w14:paraId="48DB06A5" w14:textId="77777777" w:rsidR="00026B68" w:rsidRPr="00F80A39" w:rsidRDefault="00026B68" w:rsidP="00702564">
            <w:pPr>
              <w:rPr>
                <w:rFonts w:eastAsia="Times New Roman" w:cs="Times New Roman"/>
                <w:color w:val="000000"/>
                <w:szCs w:val="24"/>
              </w:rPr>
            </w:pPr>
            <w:r w:rsidRPr="00F80A39">
              <w:rPr>
                <w:rFonts w:eastAsia="Times New Roman" w:cs="Times New Roman"/>
                <w:color w:val="000000"/>
                <w:szCs w:val="24"/>
              </w:rPr>
              <w:t>Na-ETS-10</w:t>
            </w:r>
          </w:p>
        </w:tc>
        <w:tc>
          <w:tcPr>
            <w:tcW w:w="1914" w:type="dxa"/>
            <w:tcBorders>
              <w:left w:val="single" w:sz="4" w:space="0" w:color="auto"/>
              <w:bottom w:val="single" w:sz="4" w:space="0" w:color="auto"/>
            </w:tcBorders>
            <w:noWrap/>
            <w:vAlign w:val="center"/>
            <w:hideMark/>
          </w:tcPr>
          <w:p w14:paraId="159AD2CB"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18.7</w:t>
            </w:r>
          </w:p>
        </w:tc>
        <w:tc>
          <w:tcPr>
            <w:tcW w:w="1778" w:type="dxa"/>
            <w:tcBorders>
              <w:bottom w:val="single" w:sz="4" w:space="0" w:color="auto"/>
            </w:tcBorders>
            <w:noWrap/>
            <w:vAlign w:val="center"/>
            <w:hideMark/>
          </w:tcPr>
          <w:p w14:paraId="6F9569F8"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2.3</w:t>
            </w:r>
          </w:p>
        </w:tc>
        <w:tc>
          <w:tcPr>
            <w:tcW w:w="1316" w:type="dxa"/>
            <w:tcBorders>
              <w:bottom w:val="single" w:sz="4" w:space="0" w:color="auto"/>
              <w:right w:val="single" w:sz="4" w:space="0" w:color="auto"/>
            </w:tcBorders>
            <w:noWrap/>
            <w:vAlign w:val="center"/>
            <w:hideMark/>
          </w:tcPr>
          <w:p w14:paraId="520F4016" w14:textId="77777777" w:rsidR="00026B68" w:rsidRPr="00F80A39" w:rsidRDefault="00026B68" w:rsidP="00702564">
            <w:pPr>
              <w:jc w:val="center"/>
              <w:rPr>
                <w:rFonts w:eastAsia="Times New Roman" w:cs="Times New Roman"/>
                <w:color w:val="000000"/>
                <w:szCs w:val="24"/>
              </w:rPr>
            </w:pPr>
            <w:r w:rsidRPr="00F80A39">
              <w:rPr>
                <w:rFonts w:eastAsia="Times New Roman" w:cs="Times New Roman"/>
                <w:color w:val="000000"/>
                <w:szCs w:val="24"/>
              </w:rPr>
              <w:t>88</w:t>
            </w:r>
          </w:p>
        </w:tc>
        <w:tc>
          <w:tcPr>
            <w:tcW w:w="965" w:type="dxa"/>
            <w:tcBorders>
              <w:left w:val="single" w:sz="4" w:space="0" w:color="auto"/>
              <w:bottom w:val="single" w:sz="4" w:space="0" w:color="auto"/>
            </w:tcBorders>
            <w:vAlign w:val="center"/>
          </w:tcPr>
          <w:p w14:paraId="2E1A6289" w14:textId="77777777" w:rsidR="00026B68" w:rsidRPr="00F80A39" w:rsidRDefault="00026B68" w:rsidP="00702564">
            <w:pPr>
              <w:ind w:left="-67" w:right="-67"/>
              <w:jc w:val="center"/>
              <w:rPr>
                <w:rFonts w:eastAsia="Times New Roman" w:cs="Times New Roman"/>
                <w:color w:val="000000"/>
                <w:szCs w:val="24"/>
              </w:rPr>
            </w:pPr>
            <w:r w:rsidRPr="00F80A39">
              <w:t>7.8</w:t>
            </w:r>
          </w:p>
        </w:tc>
        <w:tc>
          <w:tcPr>
            <w:tcW w:w="938" w:type="dxa"/>
            <w:tcBorders>
              <w:bottom w:val="single" w:sz="4" w:space="0" w:color="auto"/>
            </w:tcBorders>
            <w:vAlign w:val="center"/>
          </w:tcPr>
          <w:p w14:paraId="4542F3BE" w14:textId="77777777"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2.0</w:t>
            </w:r>
            <w:r w:rsidRPr="00F80A39">
              <w:rPr>
                <w:rFonts w:eastAsia="Times New Roman" w:cs="Times New Roman"/>
                <w:color w:val="000000"/>
                <w:szCs w:val="24"/>
                <w:vertAlign w:val="superscript"/>
              </w:rPr>
              <w:t>d</w:t>
            </w:r>
          </w:p>
        </w:tc>
        <w:tc>
          <w:tcPr>
            <w:tcW w:w="952" w:type="dxa"/>
            <w:tcBorders>
              <w:bottom w:val="single" w:sz="4" w:space="0" w:color="auto"/>
            </w:tcBorders>
            <w:vAlign w:val="center"/>
          </w:tcPr>
          <w:p w14:paraId="348D8EED" w14:textId="77777777" w:rsidR="00026B68" w:rsidRPr="00F80A39" w:rsidRDefault="00026B68" w:rsidP="00702564">
            <w:pPr>
              <w:ind w:left="-67" w:right="-67"/>
              <w:jc w:val="center"/>
              <w:rPr>
                <w:rFonts w:eastAsia="Times New Roman" w:cs="Times New Roman"/>
                <w:color w:val="000000"/>
                <w:szCs w:val="24"/>
              </w:rPr>
            </w:pPr>
            <w:r w:rsidRPr="00F80A39">
              <w:rPr>
                <w:rFonts w:eastAsia="Times New Roman" w:cs="Times New Roman"/>
                <w:color w:val="000000"/>
                <w:szCs w:val="24"/>
              </w:rPr>
              <w:t>0.8</w:t>
            </w:r>
            <w:r w:rsidRPr="00F80A39">
              <w:rPr>
                <w:rFonts w:eastAsia="Times New Roman" w:cs="Times New Roman"/>
                <w:color w:val="000000"/>
                <w:szCs w:val="24"/>
                <w:vertAlign w:val="superscript"/>
              </w:rPr>
              <w:t xml:space="preserve"> d</w:t>
            </w:r>
          </w:p>
        </w:tc>
      </w:tr>
    </w:tbl>
    <w:p w14:paraId="5C55205B" w14:textId="77777777" w:rsidR="00026B68" w:rsidRPr="00F80A39" w:rsidRDefault="00026B68" w:rsidP="00026B68">
      <w:pPr>
        <w:spacing w:after="0" w:line="240" w:lineRule="auto"/>
        <w:rPr>
          <w:rFonts w:ascii="Times New Roman" w:eastAsia="Times New Roman" w:hAnsi="Times New Roman" w:cs="Times New Roman"/>
          <w:color w:val="000000"/>
          <w:sz w:val="24"/>
          <w:szCs w:val="24"/>
        </w:rPr>
      </w:pPr>
      <w:r w:rsidRPr="00F80A39">
        <w:rPr>
          <w:rFonts w:ascii="Times New Roman" w:hAnsi="Times New Roman" w:cs="Times New Roman"/>
          <w:sz w:val="24"/>
          <w:szCs w:val="24"/>
          <w:vertAlign w:val="superscript"/>
        </w:rPr>
        <w:t>a</w:t>
      </w:r>
      <w:r w:rsidRPr="00F80A39">
        <w:rPr>
          <w:rFonts w:ascii="Times New Roman" w:eastAsia="Times New Roman" w:hAnsi="Times New Roman" w:cs="Times New Roman"/>
          <w:color w:val="000000"/>
          <w:sz w:val="24"/>
          <w:szCs w:val="24"/>
        </w:rPr>
        <w:t xml:space="preserve"> Polaert et al., 2010.</w:t>
      </w:r>
    </w:p>
    <w:p w14:paraId="48C72750" w14:textId="77777777" w:rsidR="00026B68" w:rsidRPr="00F80A39" w:rsidRDefault="00026B68" w:rsidP="00026B68">
      <w:pPr>
        <w:spacing w:after="0" w:line="240" w:lineRule="auto"/>
        <w:rPr>
          <w:rFonts w:ascii="Times New Roman" w:hAnsi="Times New Roman" w:cs="Times New Roman"/>
          <w:sz w:val="24"/>
          <w:szCs w:val="24"/>
        </w:rPr>
      </w:pPr>
      <w:r w:rsidRPr="00F80A39">
        <w:rPr>
          <w:rFonts w:ascii="Times New Roman" w:hAnsi="Times New Roman" w:cs="Times New Roman"/>
          <w:sz w:val="24"/>
          <w:szCs w:val="24"/>
          <w:vertAlign w:val="superscript"/>
        </w:rPr>
        <w:t>b</w:t>
      </w:r>
      <w:r w:rsidRPr="00F80A39">
        <w:rPr>
          <w:rFonts w:ascii="Times New Roman" w:hAnsi="Times New Roman" w:cs="Times New Roman"/>
          <w:sz w:val="24"/>
          <w:szCs w:val="24"/>
        </w:rPr>
        <w:t xml:space="preserve"> Walton et. al., 2006</w:t>
      </w:r>
    </w:p>
    <w:p w14:paraId="1B3C0341" w14:textId="77777777" w:rsidR="00026B68" w:rsidRPr="00F80A39" w:rsidRDefault="00026B68" w:rsidP="00026B68">
      <w:pPr>
        <w:spacing w:after="0" w:line="240" w:lineRule="auto"/>
        <w:rPr>
          <w:rFonts w:ascii="Times New Roman" w:eastAsia="Times New Roman" w:hAnsi="Times New Roman" w:cs="Times New Roman"/>
          <w:color w:val="000000"/>
          <w:sz w:val="24"/>
          <w:szCs w:val="24"/>
        </w:rPr>
      </w:pPr>
      <w:r w:rsidRPr="00F80A39">
        <w:rPr>
          <w:rFonts w:ascii="Times New Roman" w:hAnsi="Times New Roman" w:cs="Times New Roman"/>
          <w:sz w:val="24"/>
          <w:szCs w:val="24"/>
          <w:vertAlign w:val="superscript"/>
        </w:rPr>
        <w:t>c</w:t>
      </w:r>
      <w:r w:rsidRPr="00F80A39">
        <w:rPr>
          <w:rFonts w:ascii="Times New Roman" w:hAnsi="Times New Roman" w:cs="Times New Roman"/>
          <w:sz w:val="24"/>
          <w:szCs w:val="24"/>
        </w:rPr>
        <w:t xml:space="preserve"> Choudhary et. al., 1995</w:t>
      </w:r>
    </w:p>
    <w:p w14:paraId="68558A43" w14:textId="77777777" w:rsidR="00026B68" w:rsidRPr="00F80A39" w:rsidRDefault="00026B68" w:rsidP="00026B68">
      <w:pPr>
        <w:spacing w:after="0" w:line="240" w:lineRule="auto"/>
        <w:rPr>
          <w:rFonts w:ascii="Times New Roman" w:eastAsia="Times New Roman" w:hAnsi="Times New Roman" w:cs="Times New Roman"/>
          <w:color w:val="000000"/>
          <w:sz w:val="24"/>
          <w:szCs w:val="24"/>
        </w:rPr>
      </w:pPr>
      <w:r w:rsidRPr="00F80A39">
        <w:rPr>
          <w:rFonts w:ascii="Times New Roman" w:eastAsia="Times New Roman" w:hAnsi="Times New Roman" w:cs="Times New Roman"/>
          <w:color w:val="000000"/>
          <w:sz w:val="24"/>
          <w:szCs w:val="24"/>
          <w:vertAlign w:val="superscript"/>
        </w:rPr>
        <w:t>d</w:t>
      </w:r>
      <w:r w:rsidRPr="00F80A39">
        <w:rPr>
          <w:rFonts w:ascii="Times New Roman" w:eastAsia="Times New Roman" w:hAnsi="Times New Roman" w:cs="Times New Roman"/>
          <w:color w:val="000000"/>
          <w:sz w:val="24"/>
          <w:szCs w:val="24"/>
        </w:rPr>
        <w:t xml:space="preserve"> Anson et. al., 2009</w:t>
      </w:r>
    </w:p>
    <w:p w14:paraId="04306735" w14:textId="77777777" w:rsidR="00D323ED" w:rsidRPr="00F80A39" w:rsidRDefault="00D323ED" w:rsidP="00B84DF3">
      <w:pPr>
        <w:spacing w:line="240" w:lineRule="auto"/>
      </w:pPr>
    </w:p>
    <w:p w14:paraId="4FF413C6" w14:textId="77777777" w:rsidR="003741E6" w:rsidRPr="00F80A39" w:rsidRDefault="003741E6" w:rsidP="00351426">
      <w:pPr>
        <w:pStyle w:val="Heading3"/>
      </w:pPr>
      <w:r w:rsidRPr="00F80A39">
        <w:t xml:space="preserve">3.2 </w:t>
      </w:r>
      <w:r w:rsidR="00351426" w:rsidRPr="00F80A39">
        <w:t xml:space="preserve">Direct </w:t>
      </w:r>
      <w:r w:rsidRPr="00F80A39">
        <w:t xml:space="preserve">microwave </w:t>
      </w:r>
      <w:bookmarkEnd w:id="8"/>
      <w:r w:rsidR="00BF5059" w:rsidRPr="00F80A39">
        <w:t>regeneration</w:t>
      </w:r>
    </w:p>
    <w:p w14:paraId="61A7839F" w14:textId="538D8D31" w:rsidR="003741E6" w:rsidRPr="003070D0"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In </w:t>
      </w:r>
      <w:r w:rsidR="00787D14" w:rsidRPr="00F80A39">
        <w:rPr>
          <w:rFonts w:ascii="Times New Roman" w:hAnsi="Times New Roman" w:cs="Times New Roman"/>
          <w:sz w:val="24"/>
          <w:szCs w:val="24"/>
        </w:rPr>
        <w:t>d</w:t>
      </w:r>
      <w:r w:rsidR="00351426" w:rsidRPr="00F80A39">
        <w:rPr>
          <w:rFonts w:ascii="Times New Roman" w:hAnsi="Times New Roman" w:cs="Times New Roman"/>
          <w:sz w:val="24"/>
          <w:szCs w:val="24"/>
        </w:rPr>
        <w:t xml:space="preserve">irect </w:t>
      </w:r>
      <w:r w:rsidRPr="00F80A39">
        <w:rPr>
          <w:rFonts w:ascii="Times New Roman" w:hAnsi="Times New Roman" w:cs="Times New Roman"/>
          <w:sz w:val="24"/>
          <w:szCs w:val="24"/>
        </w:rPr>
        <w:t xml:space="preserve">microwave </w:t>
      </w:r>
      <w:r w:rsidR="00BF5059" w:rsidRPr="00F80A39">
        <w:rPr>
          <w:rFonts w:ascii="Times New Roman" w:hAnsi="Times New Roman" w:cs="Times New Roman"/>
          <w:sz w:val="24"/>
          <w:szCs w:val="24"/>
        </w:rPr>
        <w:t>regeneration</w:t>
      </w:r>
      <w:r w:rsidRPr="00F80A39">
        <w:rPr>
          <w:rFonts w:ascii="Times New Roman" w:hAnsi="Times New Roman" w:cs="Times New Roman"/>
          <w:sz w:val="24"/>
          <w:szCs w:val="24"/>
        </w:rPr>
        <w:t xml:space="preserve">, 10 g of saturated Na-ETS-10 was heated under 60 W of constant incident power. The heating started at 22 ºC and continued until the adsorbent bed reached </w:t>
      </w:r>
      <w:r w:rsidR="00351426" w:rsidRPr="00F80A39">
        <w:rPr>
          <w:rFonts w:ascii="Times New Roman" w:hAnsi="Times New Roman" w:cs="Times New Roman"/>
          <w:sz w:val="24"/>
          <w:szCs w:val="24"/>
        </w:rPr>
        <w:t xml:space="preserve">a set-point of </w:t>
      </w:r>
      <w:r w:rsidRPr="00F80A39">
        <w:rPr>
          <w:rFonts w:ascii="Times New Roman" w:hAnsi="Times New Roman" w:cs="Times New Roman"/>
          <w:sz w:val="24"/>
          <w:szCs w:val="24"/>
        </w:rPr>
        <w:t xml:space="preserve">190 ºC. The bed took 110 sec to reach 190 ºC. </w:t>
      </w:r>
      <w:r w:rsidR="00CC4C70" w:rsidRPr="00F80A39">
        <w:rPr>
          <w:rFonts w:ascii="Times New Roman" w:hAnsi="Times New Roman" w:cs="Times New Roman"/>
          <w:sz w:val="24"/>
          <w:szCs w:val="24"/>
        </w:rPr>
        <w:t>Constant power microwave</w:t>
      </w:r>
      <w:r w:rsidR="00CC4C70" w:rsidRPr="00CC4C70">
        <w:rPr>
          <w:rFonts w:ascii="Times New Roman" w:hAnsi="Times New Roman" w:cs="Times New Roman"/>
          <w:sz w:val="24"/>
          <w:szCs w:val="24"/>
        </w:rPr>
        <w:t xml:space="preserve"> regeneration</w:t>
      </w:r>
      <w:r w:rsidR="00CC4C70" w:rsidRPr="00CC4C70" w:rsidDel="00CC4C70">
        <w:rPr>
          <w:rFonts w:ascii="Times New Roman" w:hAnsi="Times New Roman" w:cs="Times New Roman"/>
          <w:sz w:val="24"/>
          <w:szCs w:val="24"/>
        </w:rPr>
        <w:t xml:space="preserve"> </w:t>
      </w:r>
      <w:r w:rsidRPr="003070D0">
        <w:rPr>
          <w:rFonts w:ascii="Times New Roman" w:hAnsi="Times New Roman" w:cs="Times New Roman"/>
          <w:sz w:val="24"/>
          <w:szCs w:val="24"/>
        </w:rPr>
        <w:t>required 32</w:t>
      </w:r>
      <w:r w:rsidR="00AA3F32">
        <w:rPr>
          <w:rFonts w:ascii="Times New Roman" w:hAnsi="Times New Roman" w:cs="Times New Roman"/>
          <w:sz w:val="24"/>
          <w:szCs w:val="24"/>
        </w:rPr>
        <w:t>0</w:t>
      </w:r>
      <w:r w:rsidRPr="003070D0">
        <w:rPr>
          <w:rFonts w:ascii="Times New Roman" w:hAnsi="Times New Roman" w:cs="Times New Roman"/>
          <w:sz w:val="24"/>
          <w:szCs w:val="24"/>
        </w:rPr>
        <w:t xml:space="preserve"> J </w:t>
      </w:r>
      <w:r w:rsidR="00CC4C70">
        <w:rPr>
          <w:rFonts w:ascii="Times New Roman" w:hAnsi="Times New Roman" w:cs="Times New Roman"/>
          <w:sz w:val="24"/>
          <w:szCs w:val="24"/>
        </w:rPr>
        <w:t>per</w:t>
      </w:r>
      <w:r w:rsidRPr="003070D0">
        <w:rPr>
          <w:rFonts w:ascii="Times New Roman" w:hAnsi="Times New Roman" w:cs="Times New Roman"/>
          <w:sz w:val="24"/>
          <w:szCs w:val="24"/>
        </w:rPr>
        <w:t xml:space="preserve"> gram of Na-ETS-10. A total of 6.7 mmol gas was desorbed</w:t>
      </w:r>
      <w:r>
        <w:rPr>
          <w:rFonts w:ascii="Times New Roman" w:hAnsi="Times New Roman" w:cs="Times New Roman"/>
          <w:sz w:val="24"/>
          <w:szCs w:val="24"/>
        </w:rPr>
        <w:t>,</w:t>
      </w:r>
      <w:r w:rsidRPr="003070D0">
        <w:rPr>
          <w:rFonts w:ascii="Times New Roman" w:hAnsi="Times New Roman" w:cs="Times New Roman"/>
          <w:sz w:val="24"/>
          <w:szCs w:val="24"/>
        </w:rPr>
        <w:t xml:space="preserve"> which represents 50% of the gas that </w:t>
      </w:r>
      <w:r>
        <w:rPr>
          <w:rFonts w:ascii="Times New Roman" w:hAnsi="Times New Roman" w:cs="Times New Roman"/>
          <w:sz w:val="24"/>
          <w:szCs w:val="24"/>
        </w:rPr>
        <w:t>had been</w:t>
      </w:r>
      <w:r w:rsidRPr="003070D0">
        <w:rPr>
          <w:rFonts w:ascii="Times New Roman" w:hAnsi="Times New Roman" w:cs="Times New Roman"/>
          <w:sz w:val="24"/>
          <w:szCs w:val="24"/>
        </w:rPr>
        <w:t xml:space="preserve"> adsorbed. </w:t>
      </w:r>
    </w:p>
    <w:p w14:paraId="72714BCB" w14:textId="5B205B64" w:rsidR="003741E6" w:rsidRDefault="00CB7048" w:rsidP="00BE1B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3741E6">
        <w:rPr>
          <w:rFonts w:ascii="Times New Roman" w:hAnsi="Times New Roman" w:cs="Times New Roman"/>
          <w:sz w:val="24"/>
          <w:szCs w:val="24"/>
        </w:rPr>
        <w:t>4 illustrates the temperature,</w:t>
      </w:r>
      <w:r w:rsidR="003741E6" w:rsidRPr="003070D0">
        <w:rPr>
          <w:rFonts w:ascii="Times New Roman" w:hAnsi="Times New Roman" w:cs="Times New Roman"/>
          <w:sz w:val="24"/>
          <w:szCs w:val="24"/>
        </w:rPr>
        <w:t xml:space="preserve"> power</w:t>
      </w:r>
      <w:r w:rsidR="003741E6">
        <w:rPr>
          <w:rFonts w:ascii="Times New Roman" w:hAnsi="Times New Roman" w:cs="Times New Roman"/>
          <w:sz w:val="24"/>
          <w:szCs w:val="24"/>
        </w:rPr>
        <w:t xml:space="preserve"> and desorption rate</w:t>
      </w:r>
      <w:r w:rsidR="003741E6" w:rsidRPr="003070D0">
        <w:rPr>
          <w:rFonts w:ascii="Times New Roman" w:hAnsi="Times New Roman" w:cs="Times New Roman"/>
          <w:sz w:val="24"/>
          <w:szCs w:val="24"/>
        </w:rPr>
        <w:t xml:space="preserve"> profiles as a function of time under constant power </w:t>
      </w:r>
      <w:r w:rsidR="003741E6">
        <w:rPr>
          <w:rFonts w:ascii="Times New Roman" w:hAnsi="Times New Roman" w:cs="Times New Roman"/>
          <w:sz w:val="24"/>
          <w:szCs w:val="24"/>
        </w:rPr>
        <w:t>microwave heating.</w:t>
      </w:r>
      <w:r w:rsidR="003741E6" w:rsidRPr="00EB0FC0">
        <w:rPr>
          <w:rFonts w:ascii="Times New Roman" w:hAnsi="Times New Roman" w:cs="Times New Roman"/>
          <w:sz w:val="24"/>
          <w:szCs w:val="24"/>
        </w:rPr>
        <w:t xml:space="preserve"> </w:t>
      </w:r>
      <w:r w:rsidR="00CC4C70">
        <w:rPr>
          <w:rFonts w:ascii="Times New Roman" w:hAnsi="Times New Roman" w:cs="Times New Roman"/>
          <w:sz w:val="24"/>
          <w:szCs w:val="24"/>
        </w:rPr>
        <w:t>T</w:t>
      </w:r>
      <w:r w:rsidR="003741E6" w:rsidRPr="003070D0">
        <w:rPr>
          <w:rFonts w:ascii="Times New Roman" w:hAnsi="Times New Roman" w:cs="Times New Roman"/>
          <w:sz w:val="24"/>
          <w:szCs w:val="24"/>
        </w:rPr>
        <w:t xml:space="preserve">he adsorbent temperature linearly </w:t>
      </w:r>
      <w:r w:rsidR="00CC4C70" w:rsidRPr="003070D0">
        <w:rPr>
          <w:rFonts w:ascii="Times New Roman" w:hAnsi="Times New Roman" w:cs="Times New Roman"/>
          <w:sz w:val="24"/>
          <w:szCs w:val="24"/>
        </w:rPr>
        <w:t>increase</w:t>
      </w:r>
      <w:r w:rsidR="00CC4C70">
        <w:rPr>
          <w:rFonts w:ascii="Times New Roman" w:hAnsi="Times New Roman" w:cs="Times New Roman"/>
          <w:sz w:val="24"/>
          <w:szCs w:val="24"/>
        </w:rPr>
        <w:t>d</w:t>
      </w:r>
      <w:r w:rsidR="00CC4C70" w:rsidRPr="003070D0">
        <w:rPr>
          <w:rFonts w:ascii="Times New Roman" w:hAnsi="Times New Roman" w:cs="Times New Roman"/>
          <w:sz w:val="24"/>
          <w:szCs w:val="24"/>
        </w:rPr>
        <w:t xml:space="preserve"> </w:t>
      </w:r>
      <w:r w:rsidR="003741E6" w:rsidRPr="003070D0">
        <w:rPr>
          <w:rFonts w:ascii="Times New Roman" w:hAnsi="Times New Roman" w:cs="Times New Roman"/>
          <w:sz w:val="24"/>
          <w:szCs w:val="24"/>
        </w:rPr>
        <w:t xml:space="preserve">with a </w:t>
      </w:r>
      <w:r w:rsidR="003741E6" w:rsidRPr="003070D0">
        <w:rPr>
          <w:rFonts w:ascii="Times New Roman" w:hAnsi="Times New Roman" w:cs="Times New Roman"/>
          <w:sz w:val="24"/>
          <w:szCs w:val="24"/>
        </w:rPr>
        <w:lastRenderedPageBreak/>
        <w:t>heating rate of 1.</w:t>
      </w:r>
      <w:r w:rsidR="00C44886">
        <w:rPr>
          <w:rFonts w:ascii="Times New Roman" w:hAnsi="Times New Roman" w:cs="Times New Roman"/>
          <w:sz w:val="24"/>
          <w:szCs w:val="24"/>
        </w:rPr>
        <w:t>8</w:t>
      </w:r>
      <w:r w:rsidR="003741E6" w:rsidRPr="003070D0">
        <w:rPr>
          <w:rFonts w:ascii="Times New Roman" w:hAnsi="Times New Roman" w:cs="Times New Roman"/>
          <w:sz w:val="24"/>
          <w:szCs w:val="24"/>
        </w:rPr>
        <w:t>ºC/sec</w:t>
      </w:r>
      <w:r w:rsidR="00CC4C70">
        <w:rPr>
          <w:rFonts w:ascii="Times New Roman" w:hAnsi="Times New Roman" w:cs="Times New Roman"/>
          <w:sz w:val="24"/>
          <w:szCs w:val="24"/>
        </w:rPr>
        <w:t xml:space="preserve"> while t</w:t>
      </w:r>
      <w:r w:rsidR="003741E6" w:rsidRPr="003070D0">
        <w:rPr>
          <w:rFonts w:ascii="Times New Roman" w:hAnsi="Times New Roman" w:cs="Times New Roman"/>
          <w:sz w:val="24"/>
          <w:szCs w:val="24"/>
        </w:rPr>
        <w:t xml:space="preserve">he net </w:t>
      </w:r>
      <w:r w:rsidR="003741E6" w:rsidRPr="00F80A39">
        <w:rPr>
          <w:rFonts w:ascii="Times New Roman" w:hAnsi="Times New Roman" w:cs="Times New Roman"/>
          <w:sz w:val="24"/>
          <w:szCs w:val="24"/>
        </w:rPr>
        <w:t xml:space="preserve">power consumption was constant </w:t>
      </w:r>
      <w:r w:rsidR="00804901" w:rsidRPr="00F80A39">
        <w:rPr>
          <w:rFonts w:ascii="Times New Roman" w:hAnsi="Times New Roman" w:cs="Times New Roman"/>
          <w:sz w:val="24"/>
          <w:szCs w:val="24"/>
        </w:rPr>
        <w:t xml:space="preserve">at </w:t>
      </w:r>
      <w:r w:rsidR="003741E6" w:rsidRPr="00F80A39">
        <w:rPr>
          <w:rFonts w:ascii="Times New Roman" w:hAnsi="Times New Roman" w:cs="Times New Roman"/>
          <w:sz w:val="24"/>
          <w:szCs w:val="24"/>
        </w:rPr>
        <w:t xml:space="preserve">35W. The desorption rate was 4.1-1.6 ml/sec. As long as adequate power was available to provide a thermal gradient, the desorption continued until it reached completion. </w:t>
      </w:r>
      <w:r w:rsidR="00EA3D7B" w:rsidRPr="00F80A39">
        <w:rPr>
          <w:rFonts w:ascii="Times New Roman" w:hAnsi="Times New Roman" w:cs="Times New Roman"/>
          <w:sz w:val="24"/>
          <w:szCs w:val="24"/>
        </w:rPr>
        <w:t>T</w:t>
      </w:r>
      <w:r w:rsidR="003741E6" w:rsidRPr="00F80A39">
        <w:rPr>
          <w:rFonts w:ascii="Times New Roman" w:hAnsi="Times New Roman" w:cs="Times New Roman"/>
          <w:sz w:val="24"/>
          <w:szCs w:val="24"/>
        </w:rPr>
        <w:t xml:space="preserve">he desorption rate </w:t>
      </w:r>
      <w:r w:rsidR="00EA3D7B" w:rsidRPr="00F80A39">
        <w:rPr>
          <w:rFonts w:ascii="Times New Roman" w:hAnsi="Times New Roman" w:cs="Times New Roman"/>
          <w:sz w:val="24"/>
          <w:szCs w:val="24"/>
        </w:rPr>
        <w:t xml:space="preserve">therefore, </w:t>
      </w:r>
      <w:r w:rsidR="003741E6" w:rsidRPr="00F80A39">
        <w:rPr>
          <w:rFonts w:ascii="Times New Roman" w:hAnsi="Times New Roman" w:cs="Times New Roman"/>
          <w:sz w:val="24"/>
          <w:szCs w:val="24"/>
        </w:rPr>
        <w:t>depend</w:t>
      </w:r>
      <w:r w:rsidR="00EA3D7B" w:rsidRPr="00F80A39">
        <w:rPr>
          <w:rFonts w:ascii="Times New Roman" w:hAnsi="Times New Roman" w:cs="Times New Roman"/>
          <w:sz w:val="24"/>
          <w:szCs w:val="24"/>
        </w:rPr>
        <w:t>s</w:t>
      </w:r>
      <w:r w:rsidR="003741E6" w:rsidRPr="00F80A39">
        <w:rPr>
          <w:rFonts w:ascii="Times New Roman" w:hAnsi="Times New Roman" w:cs="Times New Roman"/>
          <w:sz w:val="24"/>
          <w:szCs w:val="24"/>
        </w:rPr>
        <w:t xml:space="preserve"> on the absorbed power density (W/m</w:t>
      </w:r>
      <w:r w:rsidR="003741E6" w:rsidRPr="00F80A39">
        <w:rPr>
          <w:rFonts w:ascii="Times New Roman" w:hAnsi="Times New Roman" w:cs="Times New Roman"/>
          <w:sz w:val="24"/>
          <w:szCs w:val="24"/>
          <w:vertAlign w:val="superscript"/>
        </w:rPr>
        <w:t>3</w:t>
      </w:r>
      <w:r w:rsidR="003741E6" w:rsidRPr="00F80A39">
        <w:rPr>
          <w:rFonts w:ascii="Times New Roman" w:hAnsi="Times New Roman" w:cs="Times New Roman"/>
          <w:sz w:val="24"/>
          <w:szCs w:val="24"/>
        </w:rPr>
        <w:t xml:space="preserve"> bed). </w:t>
      </w:r>
      <w:r w:rsidR="00804901" w:rsidRPr="00F80A39">
        <w:rPr>
          <w:rFonts w:ascii="Times New Roman" w:hAnsi="Times New Roman" w:cs="Times New Roman"/>
          <w:sz w:val="24"/>
          <w:szCs w:val="24"/>
        </w:rPr>
        <w:t xml:space="preserve">Similar </w:t>
      </w:r>
      <w:r w:rsidR="003741E6" w:rsidRPr="00F80A39">
        <w:rPr>
          <w:rFonts w:ascii="Times New Roman" w:hAnsi="Times New Roman" w:cs="Times New Roman"/>
          <w:sz w:val="24"/>
          <w:szCs w:val="24"/>
        </w:rPr>
        <w:t>finding</w:t>
      </w:r>
      <w:r w:rsidR="00EA3D7B" w:rsidRPr="00F80A39">
        <w:rPr>
          <w:rFonts w:ascii="Times New Roman" w:hAnsi="Times New Roman" w:cs="Times New Roman"/>
          <w:sz w:val="24"/>
          <w:szCs w:val="24"/>
        </w:rPr>
        <w:t>s</w:t>
      </w:r>
      <w:r w:rsidR="003741E6" w:rsidRPr="00F80A39">
        <w:rPr>
          <w:rFonts w:ascii="Times New Roman" w:hAnsi="Times New Roman" w:cs="Times New Roman"/>
          <w:sz w:val="24"/>
          <w:szCs w:val="24"/>
        </w:rPr>
        <w:t xml:space="preserve"> </w:t>
      </w:r>
      <w:r w:rsidR="00EA3D7B" w:rsidRPr="00F80A39">
        <w:rPr>
          <w:rFonts w:ascii="Times New Roman" w:hAnsi="Times New Roman" w:cs="Times New Roman"/>
          <w:sz w:val="24"/>
          <w:szCs w:val="24"/>
        </w:rPr>
        <w:t xml:space="preserve">have </w:t>
      </w:r>
      <w:r w:rsidR="003741E6" w:rsidRPr="00F80A39">
        <w:rPr>
          <w:rFonts w:ascii="Times New Roman" w:hAnsi="Times New Roman" w:cs="Times New Roman"/>
          <w:sz w:val="24"/>
          <w:szCs w:val="24"/>
        </w:rPr>
        <w:t>been reported for other zeolites (Polaert et al., 2007).</w:t>
      </w:r>
    </w:p>
    <w:p w14:paraId="7F758D33" w14:textId="77777777" w:rsidR="003741E6" w:rsidRDefault="003741E6" w:rsidP="00B84DF3">
      <w:pPr>
        <w:spacing w:line="240" w:lineRule="auto"/>
        <w:jc w:val="both"/>
        <w:rPr>
          <w:rFonts w:ascii="Times New Roman" w:hAnsi="Times New Roman" w:cs="Times New Roman"/>
          <w:sz w:val="24"/>
          <w:szCs w:val="24"/>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7945"/>
      </w:tblGrid>
      <w:tr w:rsidR="003741E6" w14:paraId="0F8DB5E5" w14:textId="77777777" w:rsidTr="00727B4C">
        <w:trPr>
          <w:cnfStyle w:val="100000000000" w:firstRow="1" w:lastRow="0" w:firstColumn="0" w:lastColumn="0" w:oddVBand="0" w:evenVBand="0" w:oddHBand="0" w:evenHBand="0" w:firstRowFirstColumn="0" w:firstRowLastColumn="0" w:lastRowFirstColumn="0" w:lastRowLastColumn="0"/>
          <w:trHeight w:val="4377"/>
        </w:trPr>
        <w:tc>
          <w:tcPr>
            <w:tcW w:w="7945" w:type="dxa"/>
            <w:tcBorders>
              <w:top w:val="nil"/>
              <w:left w:val="none" w:sz="0" w:space="0" w:color="auto"/>
              <w:bottom w:val="nil"/>
              <w:right w:val="none" w:sz="0" w:space="0" w:color="auto"/>
              <w:tl2br w:val="none" w:sz="0" w:space="0" w:color="auto"/>
              <w:tr2bl w:val="none" w:sz="0" w:space="0" w:color="auto"/>
            </w:tcBorders>
          </w:tcPr>
          <w:p w14:paraId="5BB6D171" w14:textId="77777777" w:rsidR="003741E6" w:rsidRDefault="003741E6" w:rsidP="00B84DF3">
            <w:pPr>
              <w:pStyle w:val="Caption"/>
              <w:jc w:val="both"/>
              <w:rPr>
                <w:rFonts w:cs="Times New Roman"/>
                <w:color w:val="000000" w:themeColor="text1"/>
                <w:sz w:val="24"/>
                <w:szCs w:val="24"/>
              </w:rPr>
            </w:pPr>
            <w:r w:rsidRPr="00F53C00">
              <w:rPr>
                <w:rFonts w:cs="Times New Roman"/>
                <w:noProof/>
                <w:color w:val="000000" w:themeColor="text1"/>
                <w:sz w:val="24"/>
                <w:szCs w:val="24"/>
                <w:lang w:val="en-US" w:eastAsia="en-US"/>
              </w:rPr>
              <w:drawing>
                <wp:inline distT="0" distB="0" distL="0" distR="0" wp14:anchorId="28B4E329" wp14:editId="3E7B7775">
                  <wp:extent cx="4828717" cy="2896819"/>
                  <wp:effectExtent l="0" t="0" r="10160" b="18415"/>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741E6" w14:paraId="547DB0E3" w14:textId="77777777" w:rsidTr="00727B4C">
        <w:trPr>
          <w:cnfStyle w:val="000000100000" w:firstRow="0" w:lastRow="0" w:firstColumn="0" w:lastColumn="0" w:oddVBand="0" w:evenVBand="0" w:oddHBand="1" w:evenHBand="0" w:firstRowFirstColumn="0" w:firstRowLastColumn="0" w:lastRowFirstColumn="0" w:lastRowLastColumn="0"/>
          <w:trHeight w:val="4641"/>
        </w:trPr>
        <w:tc>
          <w:tcPr>
            <w:tcW w:w="7945" w:type="dxa"/>
            <w:tcBorders>
              <w:left w:val="none" w:sz="0" w:space="0" w:color="auto"/>
              <w:bottom w:val="none" w:sz="0" w:space="0" w:color="auto"/>
              <w:right w:val="none" w:sz="0" w:space="0" w:color="auto"/>
              <w:tl2br w:val="none" w:sz="0" w:space="0" w:color="auto"/>
              <w:tr2bl w:val="none" w:sz="0" w:space="0" w:color="auto"/>
            </w:tcBorders>
          </w:tcPr>
          <w:p w14:paraId="4A87BD80" w14:textId="77777777" w:rsidR="003741E6" w:rsidRDefault="003741E6" w:rsidP="00B84DF3">
            <w:pPr>
              <w:pStyle w:val="Caption"/>
              <w:jc w:val="both"/>
              <w:rPr>
                <w:rFonts w:cs="Times New Roman"/>
                <w:color w:val="000000" w:themeColor="text1"/>
                <w:sz w:val="24"/>
                <w:szCs w:val="24"/>
              </w:rPr>
            </w:pPr>
            <w:r w:rsidRPr="001D71B1">
              <w:rPr>
                <w:rFonts w:cs="Times New Roman"/>
                <w:noProof/>
                <w:color w:val="000000" w:themeColor="text1"/>
                <w:sz w:val="24"/>
                <w:szCs w:val="24"/>
                <w:lang w:val="en-US" w:eastAsia="en-US"/>
              </w:rPr>
              <w:drawing>
                <wp:inline distT="0" distB="0" distL="0" distR="0" wp14:anchorId="21A29BFF" wp14:editId="76474CF7">
                  <wp:extent cx="4829175" cy="2970530"/>
                  <wp:effectExtent l="19050" t="0" r="9525" b="127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4F7E90D" w14:textId="77777777" w:rsidR="003741E6" w:rsidRDefault="003741E6" w:rsidP="00B84DF3">
      <w:pPr>
        <w:pStyle w:val="Caption"/>
        <w:jc w:val="both"/>
        <w:rPr>
          <w:rFonts w:ascii="Times New Roman" w:hAnsi="Times New Roman" w:cs="Times New Roman"/>
          <w:color w:val="000000" w:themeColor="text1"/>
          <w:sz w:val="24"/>
          <w:szCs w:val="24"/>
        </w:rPr>
      </w:pPr>
    </w:p>
    <w:p w14:paraId="65B489D6" w14:textId="77777777" w:rsidR="003741E6" w:rsidRPr="008D13C3" w:rsidRDefault="003741E6" w:rsidP="0080552B">
      <w:pPr>
        <w:pStyle w:val="Caption"/>
        <w:jc w:val="center"/>
        <w:rPr>
          <w:rFonts w:ascii="Times New Roman" w:hAnsi="Times New Roman" w:cs="Times New Roman"/>
          <w:color w:val="auto"/>
          <w:sz w:val="24"/>
          <w:szCs w:val="24"/>
        </w:rPr>
      </w:pPr>
      <w:bookmarkStart w:id="9" w:name="_Toc321837708"/>
      <w:r w:rsidRPr="008D13C3">
        <w:rPr>
          <w:rFonts w:ascii="Times New Roman" w:hAnsi="Times New Roman" w:cs="Times New Roman"/>
          <w:color w:val="auto"/>
          <w:sz w:val="24"/>
          <w:szCs w:val="24"/>
        </w:rPr>
        <w:t xml:space="preserve">Figure </w:t>
      </w:r>
      <w:r w:rsidR="00AF1B59" w:rsidRPr="008D13C3">
        <w:rPr>
          <w:rFonts w:ascii="Times New Roman" w:hAnsi="Times New Roman" w:cs="Times New Roman"/>
          <w:color w:val="auto"/>
          <w:sz w:val="24"/>
          <w:szCs w:val="24"/>
        </w:rPr>
        <w:fldChar w:fldCharType="begin"/>
      </w:r>
      <w:r w:rsidRPr="008D13C3">
        <w:rPr>
          <w:rFonts w:ascii="Times New Roman" w:hAnsi="Times New Roman" w:cs="Times New Roman"/>
          <w:color w:val="auto"/>
          <w:sz w:val="24"/>
          <w:szCs w:val="24"/>
        </w:rPr>
        <w:instrText xml:space="preserve"> SEQ Figure_4- \* ARABIC </w:instrText>
      </w:r>
      <w:r w:rsidR="00AF1B59" w:rsidRPr="008D13C3">
        <w:rPr>
          <w:rFonts w:ascii="Times New Roman" w:hAnsi="Times New Roman" w:cs="Times New Roman"/>
          <w:color w:val="auto"/>
          <w:sz w:val="24"/>
          <w:szCs w:val="24"/>
        </w:rPr>
        <w:fldChar w:fldCharType="separate"/>
      </w:r>
      <w:r w:rsidR="00357FB2">
        <w:rPr>
          <w:rFonts w:ascii="Times New Roman" w:hAnsi="Times New Roman" w:cs="Times New Roman"/>
          <w:noProof/>
          <w:color w:val="auto"/>
          <w:sz w:val="24"/>
          <w:szCs w:val="24"/>
        </w:rPr>
        <w:t>4</w:t>
      </w:r>
      <w:r w:rsidR="00AF1B59" w:rsidRPr="008D13C3">
        <w:rPr>
          <w:rFonts w:ascii="Times New Roman" w:hAnsi="Times New Roman" w:cs="Times New Roman"/>
          <w:color w:val="auto"/>
          <w:sz w:val="24"/>
          <w:szCs w:val="24"/>
        </w:rPr>
        <w:fldChar w:fldCharType="end"/>
      </w:r>
      <w:r w:rsidRPr="008D13C3">
        <w:rPr>
          <w:rFonts w:ascii="Times New Roman" w:hAnsi="Times New Roman" w:cs="Times New Roman"/>
          <w:color w:val="auto"/>
          <w:sz w:val="24"/>
          <w:szCs w:val="24"/>
        </w:rPr>
        <w:t>: Desorption of CO</w:t>
      </w:r>
      <w:r w:rsidRPr="008D13C3">
        <w:rPr>
          <w:rFonts w:ascii="Times New Roman" w:hAnsi="Times New Roman" w:cs="Times New Roman"/>
          <w:color w:val="auto"/>
          <w:sz w:val="24"/>
          <w:szCs w:val="24"/>
          <w:vertAlign w:val="subscript"/>
        </w:rPr>
        <w:t>2</w:t>
      </w:r>
      <w:r w:rsidRPr="008D13C3">
        <w:rPr>
          <w:rFonts w:ascii="Times New Roman" w:hAnsi="Times New Roman" w:cs="Times New Roman"/>
          <w:color w:val="auto"/>
          <w:sz w:val="24"/>
          <w:szCs w:val="24"/>
        </w:rPr>
        <w:t>/CH</w:t>
      </w:r>
      <w:r w:rsidRPr="008D13C3">
        <w:rPr>
          <w:rFonts w:ascii="Times New Roman" w:hAnsi="Times New Roman" w:cs="Times New Roman"/>
          <w:color w:val="auto"/>
          <w:sz w:val="24"/>
          <w:szCs w:val="24"/>
          <w:vertAlign w:val="subscript"/>
        </w:rPr>
        <w:t>4</w:t>
      </w:r>
      <w:r w:rsidRPr="008D13C3">
        <w:rPr>
          <w:rFonts w:ascii="Times New Roman" w:hAnsi="Times New Roman" w:cs="Times New Roman"/>
          <w:color w:val="auto"/>
          <w:sz w:val="24"/>
          <w:szCs w:val="24"/>
        </w:rPr>
        <w:t xml:space="preserve"> and regeneration of Na-ETS-10 with constant power microwave </w:t>
      </w:r>
      <w:r w:rsidR="00C44886" w:rsidRPr="00C44886">
        <w:rPr>
          <w:rFonts w:ascii="Times New Roman" w:hAnsi="Times New Roman" w:cs="Times New Roman"/>
          <w:color w:val="auto"/>
          <w:sz w:val="24"/>
          <w:szCs w:val="24"/>
        </w:rPr>
        <w:t>regeneration</w:t>
      </w:r>
      <w:r w:rsidRPr="008D13C3">
        <w:rPr>
          <w:rFonts w:ascii="Times New Roman" w:hAnsi="Times New Roman" w:cs="Times New Roman"/>
          <w:color w:val="auto"/>
          <w:sz w:val="24"/>
          <w:szCs w:val="24"/>
        </w:rPr>
        <w:t>; (a) temperature and net power profile and (b) desorption rate</w:t>
      </w:r>
      <w:bookmarkEnd w:id="9"/>
    </w:p>
    <w:p w14:paraId="5A18C928" w14:textId="21BFF903" w:rsidR="003741E6" w:rsidRPr="00C67D78" w:rsidRDefault="003741E6" w:rsidP="003614D5">
      <w:pPr>
        <w:pStyle w:val="Heading3"/>
      </w:pPr>
      <w:r w:rsidRPr="009328DB">
        <w:t>3.</w:t>
      </w:r>
      <w:r w:rsidR="00702564">
        <w:t>3</w:t>
      </w:r>
      <w:r w:rsidR="00702564" w:rsidRPr="009328DB">
        <w:t xml:space="preserve"> </w:t>
      </w:r>
      <w:r>
        <w:t>Discussion</w:t>
      </w:r>
    </w:p>
    <w:p w14:paraId="23B25F37" w14:textId="17A5607B" w:rsidR="00896049" w:rsidRPr="00F80A39" w:rsidRDefault="00804901" w:rsidP="00896049">
      <w:pPr>
        <w:spacing w:line="480" w:lineRule="auto"/>
        <w:jc w:val="both"/>
        <w:rPr>
          <w:rFonts w:ascii="Times New Roman" w:hAnsi="Times New Roman"/>
          <w:sz w:val="24"/>
          <w:szCs w:val="24"/>
        </w:rPr>
      </w:pPr>
      <w:r w:rsidRPr="00F80A39">
        <w:rPr>
          <w:rFonts w:ascii="Times New Roman" w:hAnsi="Times New Roman" w:cs="Times New Roman"/>
          <w:sz w:val="24"/>
          <w:szCs w:val="24"/>
        </w:rPr>
        <w:t>F</w:t>
      </w:r>
      <w:r w:rsidR="003741E6" w:rsidRPr="00F80A39">
        <w:rPr>
          <w:rFonts w:ascii="Times New Roman" w:hAnsi="Times New Roman" w:cs="Times New Roman"/>
          <w:sz w:val="24"/>
          <w:szCs w:val="24"/>
        </w:rPr>
        <w:t xml:space="preserve">ive adsorption-desorption </w:t>
      </w:r>
      <w:r w:rsidRPr="00F80A39">
        <w:rPr>
          <w:rFonts w:ascii="Times New Roman" w:hAnsi="Times New Roman" w:cs="Times New Roman"/>
          <w:sz w:val="24"/>
          <w:szCs w:val="24"/>
        </w:rPr>
        <w:t xml:space="preserve">cycles were successively </w:t>
      </w:r>
      <w:r w:rsidR="003741E6" w:rsidRPr="00F80A39">
        <w:rPr>
          <w:rFonts w:ascii="Times New Roman" w:hAnsi="Times New Roman" w:cs="Times New Roman"/>
          <w:sz w:val="24"/>
          <w:szCs w:val="24"/>
        </w:rPr>
        <w:t>completed</w:t>
      </w:r>
      <w:r w:rsidR="000263D5" w:rsidRPr="00F80A39">
        <w:rPr>
          <w:rFonts w:ascii="Times New Roman" w:hAnsi="Times New Roman" w:cs="Times New Roman"/>
          <w:sz w:val="24"/>
          <w:szCs w:val="24"/>
        </w:rPr>
        <w:t xml:space="preserve"> </w:t>
      </w:r>
      <w:r w:rsidR="00EA3D7B" w:rsidRPr="00F80A39">
        <w:rPr>
          <w:rFonts w:ascii="Times New Roman" w:hAnsi="Times New Roman" w:cs="Times New Roman"/>
          <w:sz w:val="24"/>
          <w:szCs w:val="24"/>
        </w:rPr>
        <w:t xml:space="preserve">in order to </w:t>
      </w:r>
      <w:r w:rsidR="003741E6" w:rsidRPr="00F80A39">
        <w:rPr>
          <w:rFonts w:ascii="Times New Roman" w:hAnsi="Times New Roman" w:cs="Times New Roman"/>
          <w:sz w:val="24"/>
          <w:szCs w:val="24"/>
        </w:rPr>
        <w:t>regenerat</w:t>
      </w:r>
      <w:r w:rsidR="00EA3D7B" w:rsidRPr="00F80A39">
        <w:rPr>
          <w:rFonts w:ascii="Times New Roman" w:hAnsi="Times New Roman" w:cs="Times New Roman"/>
          <w:sz w:val="24"/>
          <w:szCs w:val="24"/>
        </w:rPr>
        <w:t>e</w:t>
      </w:r>
      <w:r w:rsidR="000263D5" w:rsidRPr="00F80A39">
        <w:rPr>
          <w:rFonts w:ascii="Times New Roman" w:hAnsi="Times New Roman" w:cs="Times New Roman"/>
          <w:sz w:val="24"/>
          <w:szCs w:val="24"/>
        </w:rPr>
        <w:t xml:space="preserve"> </w:t>
      </w:r>
      <w:r w:rsidR="003741E6" w:rsidRPr="00F80A39">
        <w:rPr>
          <w:rFonts w:ascii="Times New Roman" w:hAnsi="Times New Roman" w:cs="Times New Roman"/>
          <w:sz w:val="24"/>
          <w:szCs w:val="24"/>
        </w:rPr>
        <w:t xml:space="preserve">Na-ETS-10. </w:t>
      </w:r>
      <w:r w:rsidR="00EA3D7B" w:rsidRPr="00F80A39">
        <w:rPr>
          <w:rFonts w:ascii="Times New Roman" w:hAnsi="Times New Roman" w:cs="Times New Roman"/>
          <w:sz w:val="24"/>
          <w:szCs w:val="24"/>
        </w:rPr>
        <w:t>A comparison</w:t>
      </w:r>
      <w:r w:rsidR="00C44886" w:rsidRPr="00F80A39">
        <w:rPr>
          <w:rFonts w:ascii="Times New Roman" w:hAnsi="Times New Roman" w:cs="Times New Roman"/>
          <w:sz w:val="24"/>
          <w:szCs w:val="24"/>
        </w:rPr>
        <w:t xml:space="preserve"> </w:t>
      </w:r>
      <w:r w:rsidR="00EA3D7B" w:rsidRPr="00F80A39">
        <w:rPr>
          <w:rFonts w:ascii="Times New Roman" w:hAnsi="Times New Roman" w:cs="Times New Roman"/>
          <w:sz w:val="24"/>
          <w:szCs w:val="24"/>
        </w:rPr>
        <w:t xml:space="preserve">of </w:t>
      </w:r>
      <w:r w:rsidR="0036375F" w:rsidRPr="00F80A39">
        <w:rPr>
          <w:rFonts w:ascii="Times New Roman" w:hAnsi="Times New Roman" w:cs="Times New Roman"/>
          <w:sz w:val="24"/>
          <w:szCs w:val="24"/>
        </w:rPr>
        <w:t xml:space="preserve">the </w:t>
      </w:r>
      <w:r w:rsidR="00C44886" w:rsidRPr="00F80A39">
        <w:rPr>
          <w:rFonts w:ascii="Times New Roman" w:hAnsi="Times New Roman" w:cs="Times New Roman"/>
          <w:sz w:val="24"/>
          <w:szCs w:val="24"/>
        </w:rPr>
        <w:t xml:space="preserve">gas recovery </w:t>
      </w:r>
      <w:r w:rsidR="00200281" w:rsidRPr="00F80A39">
        <w:rPr>
          <w:rFonts w:ascii="Times New Roman" w:hAnsi="Times New Roman" w:cs="Times New Roman"/>
          <w:sz w:val="24"/>
          <w:szCs w:val="24"/>
        </w:rPr>
        <w:t xml:space="preserve">and energy consumption </w:t>
      </w:r>
      <w:r w:rsidR="00C44886" w:rsidRPr="00F80A39">
        <w:rPr>
          <w:rFonts w:ascii="Times New Roman" w:hAnsi="Times New Roman" w:cs="Times New Roman"/>
          <w:sz w:val="24"/>
          <w:szCs w:val="24"/>
        </w:rPr>
        <w:t>during</w:t>
      </w:r>
      <w:r w:rsidR="003741E6" w:rsidRPr="00F80A39">
        <w:rPr>
          <w:rFonts w:ascii="Times New Roman" w:hAnsi="Times New Roman" w:cs="Times New Roman"/>
          <w:sz w:val="24"/>
          <w:szCs w:val="24"/>
        </w:rPr>
        <w:t xml:space="preserve"> </w:t>
      </w:r>
      <w:r w:rsidR="00EA3D7B" w:rsidRPr="00F80A39">
        <w:rPr>
          <w:rFonts w:ascii="Times New Roman" w:hAnsi="Times New Roman" w:cs="Times New Roman"/>
          <w:sz w:val="24"/>
          <w:szCs w:val="24"/>
        </w:rPr>
        <w:t xml:space="preserve">the </w:t>
      </w:r>
      <w:r w:rsidR="003741E6" w:rsidRPr="00F80A39">
        <w:rPr>
          <w:rFonts w:ascii="Times New Roman" w:hAnsi="Times New Roman" w:cs="Times New Roman"/>
          <w:sz w:val="24"/>
          <w:szCs w:val="24"/>
        </w:rPr>
        <w:t xml:space="preserve">five adsorption-desorption cycles </w:t>
      </w:r>
      <w:r w:rsidR="00C44886" w:rsidRPr="00F80A39">
        <w:rPr>
          <w:rFonts w:ascii="Times New Roman" w:hAnsi="Times New Roman" w:cs="Times New Roman"/>
          <w:sz w:val="24"/>
          <w:szCs w:val="24"/>
        </w:rPr>
        <w:t xml:space="preserve">for </w:t>
      </w:r>
      <w:r w:rsidR="00351426" w:rsidRPr="00F80A39">
        <w:rPr>
          <w:rFonts w:ascii="Times New Roman" w:hAnsi="Times New Roman" w:cs="Times New Roman"/>
          <w:sz w:val="24"/>
          <w:szCs w:val="24"/>
        </w:rPr>
        <w:t>indirect</w:t>
      </w:r>
      <w:r w:rsidR="003741E6" w:rsidRPr="00F80A39">
        <w:rPr>
          <w:rFonts w:ascii="Times New Roman" w:hAnsi="Times New Roman" w:cs="Times New Roman"/>
          <w:sz w:val="24"/>
          <w:szCs w:val="24"/>
        </w:rPr>
        <w:t xml:space="preserve"> and </w:t>
      </w:r>
      <w:r w:rsidR="00C44886" w:rsidRPr="00F80A39">
        <w:rPr>
          <w:rFonts w:ascii="Times New Roman" w:hAnsi="Times New Roman" w:cs="Times New Roman"/>
          <w:sz w:val="24"/>
          <w:szCs w:val="24"/>
        </w:rPr>
        <w:t xml:space="preserve">direct </w:t>
      </w:r>
      <w:r w:rsidR="003741E6" w:rsidRPr="00F80A39">
        <w:rPr>
          <w:rFonts w:ascii="Times New Roman" w:hAnsi="Times New Roman" w:cs="Times New Roman"/>
          <w:sz w:val="24"/>
          <w:szCs w:val="24"/>
        </w:rPr>
        <w:t>microwave regeneration</w:t>
      </w:r>
      <w:r w:rsidR="00EA3D7B" w:rsidRPr="00F80A39">
        <w:rPr>
          <w:rFonts w:ascii="Times New Roman" w:hAnsi="Times New Roman" w:cs="Times New Roman"/>
          <w:sz w:val="24"/>
          <w:szCs w:val="24"/>
        </w:rPr>
        <w:t xml:space="preserve"> is shown in Figures 5 and 6 and Table 2.</w:t>
      </w:r>
      <w:r w:rsidR="003741E6" w:rsidRPr="00F80A39">
        <w:rPr>
          <w:rFonts w:ascii="Times New Roman" w:hAnsi="Times New Roman" w:cs="Times New Roman"/>
          <w:sz w:val="24"/>
          <w:szCs w:val="24"/>
        </w:rPr>
        <w:t xml:space="preserve"> </w:t>
      </w:r>
      <w:r w:rsidR="00094245" w:rsidRPr="00F80A39">
        <w:rPr>
          <w:rFonts w:ascii="Times New Roman" w:hAnsi="Times New Roman" w:cs="Times New Roman"/>
          <w:sz w:val="24"/>
          <w:szCs w:val="24"/>
        </w:rPr>
        <w:t>During w</w:t>
      </w:r>
      <w:r w:rsidR="00C44886" w:rsidRPr="00F80A39">
        <w:rPr>
          <w:rFonts w:ascii="Times New Roman" w:hAnsi="Times New Roman" w:cs="Times New Roman"/>
          <w:sz w:val="24"/>
          <w:szCs w:val="24"/>
        </w:rPr>
        <w:t xml:space="preserve">ater </w:t>
      </w:r>
      <w:r w:rsidR="003741E6" w:rsidRPr="00F80A39">
        <w:rPr>
          <w:rFonts w:ascii="Times New Roman" w:hAnsi="Times New Roman" w:cs="Times New Roman"/>
          <w:sz w:val="24"/>
          <w:szCs w:val="24"/>
        </w:rPr>
        <w:t>desorption</w:t>
      </w:r>
      <w:r w:rsidR="00094245" w:rsidRPr="00F80A39">
        <w:rPr>
          <w:rFonts w:ascii="Times New Roman" w:hAnsi="Times New Roman" w:cs="Times New Roman"/>
          <w:sz w:val="24"/>
          <w:szCs w:val="24"/>
        </w:rPr>
        <w:t xml:space="preserve"> a</w:t>
      </w:r>
      <w:r w:rsidR="00C91305" w:rsidRPr="00F80A39">
        <w:rPr>
          <w:rFonts w:ascii="Times New Roman" w:hAnsi="Times New Roman" w:cs="Times New Roman"/>
          <w:sz w:val="24"/>
          <w:szCs w:val="24"/>
        </w:rPr>
        <w:t xml:space="preserve"> </w:t>
      </w:r>
      <w:r w:rsidR="00C44886" w:rsidRPr="00F80A39">
        <w:rPr>
          <w:rFonts w:ascii="Times New Roman" w:hAnsi="Times New Roman" w:cs="Times New Roman"/>
          <w:sz w:val="24"/>
          <w:szCs w:val="24"/>
        </w:rPr>
        <w:t xml:space="preserve">higher </w:t>
      </w:r>
      <w:r w:rsidR="00EA3D7B" w:rsidRPr="00F80A39">
        <w:rPr>
          <w:rFonts w:ascii="Times New Roman" w:hAnsi="Times New Roman" w:cs="Times New Roman"/>
          <w:sz w:val="24"/>
          <w:szCs w:val="24"/>
        </w:rPr>
        <w:t xml:space="preserve">gas </w:t>
      </w:r>
      <w:r w:rsidR="00C44886" w:rsidRPr="00F80A39">
        <w:rPr>
          <w:rFonts w:ascii="Times New Roman" w:hAnsi="Times New Roman" w:cs="Times New Roman"/>
          <w:sz w:val="24"/>
          <w:szCs w:val="24"/>
        </w:rPr>
        <w:t xml:space="preserve">recovery </w:t>
      </w:r>
      <w:r w:rsidR="00094245" w:rsidRPr="00F80A39">
        <w:rPr>
          <w:rFonts w:ascii="Times New Roman" w:hAnsi="Times New Roman" w:cs="Times New Roman"/>
          <w:sz w:val="24"/>
          <w:szCs w:val="24"/>
        </w:rPr>
        <w:t xml:space="preserve">was achieved </w:t>
      </w:r>
      <w:r w:rsidR="00EA3D7B" w:rsidRPr="00F80A39">
        <w:rPr>
          <w:rFonts w:ascii="Times New Roman" w:hAnsi="Times New Roman" w:cs="Times New Roman"/>
          <w:sz w:val="24"/>
          <w:szCs w:val="24"/>
        </w:rPr>
        <w:t xml:space="preserve">only </w:t>
      </w:r>
      <w:r w:rsidR="00C44886" w:rsidRPr="00F80A39">
        <w:rPr>
          <w:rFonts w:ascii="Times New Roman" w:hAnsi="Times New Roman" w:cs="Times New Roman"/>
          <w:sz w:val="24"/>
          <w:szCs w:val="24"/>
        </w:rPr>
        <w:t xml:space="preserve">in the first cycle </w:t>
      </w:r>
      <w:r w:rsidR="00C44886" w:rsidRPr="00F80A39">
        <w:rPr>
          <w:rFonts w:ascii="Times New Roman" w:hAnsi="Times New Roman" w:cs="Times New Roman"/>
          <w:strike/>
          <w:sz w:val="24"/>
          <w:szCs w:val="24"/>
        </w:rPr>
        <w:t>only</w:t>
      </w:r>
      <w:r w:rsidR="00C44886" w:rsidRPr="00F80A39">
        <w:rPr>
          <w:rFonts w:ascii="Times New Roman" w:hAnsi="Times New Roman" w:cs="Times New Roman"/>
          <w:sz w:val="24"/>
          <w:szCs w:val="24"/>
        </w:rPr>
        <w:t xml:space="preserve">, while </w:t>
      </w:r>
      <w:r w:rsidR="00094245" w:rsidRPr="00F80A39">
        <w:rPr>
          <w:rFonts w:ascii="Times New Roman" w:hAnsi="Times New Roman" w:cs="Times New Roman"/>
          <w:sz w:val="24"/>
          <w:szCs w:val="24"/>
        </w:rPr>
        <w:t xml:space="preserve">during </w:t>
      </w:r>
      <w:r w:rsidR="00C44886" w:rsidRPr="00F80A39">
        <w:rPr>
          <w:rFonts w:ascii="Times New Roman" w:hAnsi="Times New Roman" w:cs="Times New Roman"/>
          <w:sz w:val="24"/>
          <w:szCs w:val="24"/>
        </w:rPr>
        <w:t xml:space="preserve">constant </w:t>
      </w:r>
      <w:r w:rsidR="00351426" w:rsidRPr="00F80A39">
        <w:rPr>
          <w:rFonts w:ascii="Times New Roman" w:hAnsi="Times New Roman" w:cs="Times New Roman"/>
          <w:sz w:val="24"/>
          <w:szCs w:val="24"/>
        </w:rPr>
        <w:t xml:space="preserve">power </w:t>
      </w:r>
      <w:r w:rsidR="00094245" w:rsidRPr="00F80A39">
        <w:rPr>
          <w:rFonts w:ascii="Times New Roman" w:hAnsi="Times New Roman" w:cs="Times New Roman"/>
          <w:sz w:val="24"/>
          <w:szCs w:val="24"/>
        </w:rPr>
        <w:t xml:space="preserve">this was true </w:t>
      </w:r>
      <w:r w:rsidR="00C44886" w:rsidRPr="00F80A39">
        <w:rPr>
          <w:rFonts w:ascii="Times New Roman" w:hAnsi="Times New Roman" w:cs="Times New Roman"/>
          <w:sz w:val="24"/>
          <w:szCs w:val="24"/>
        </w:rPr>
        <w:t xml:space="preserve">over the 5 cycles. </w:t>
      </w:r>
      <w:r w:rsidR="00EA3D7B" w:rsidRPr="00F80A39">
        <w:rPr>
          <w:rFonts w:ascii="Times New Roman" w:hAnsi="Times New Roman" w:cs="Times New Roman"/>
          <w:sz w:val="24"/>
          <w:szCs w:val="24"/>
        </w:rPr>
        <w:t>T</w:t>
      </w:r>
      <w:r w:rsidR="00C44886" w:rsidRPr="00F80A39">
        <w:rPr>
          <w:rFonts w:ascii="Times New Roman" w:hAnsi="Times New Roman" w:cs="Times New Roman"/>
          <w:sz w:val="24"/>
          <w:szCs w:val="24"/>
        </w:rPr>
        <w:t xml:space="preserve">he swing capacity </w:t>
      </w:r>
      <w:r w:rsidR="00E028A0" w:rsidRPr="00F80A39">
        <w:rPr>
          <w:rFonts w:ascii="Times New Roman" w:hAnsi="Times New Roman" w:cs="Times New Roman"/>
          <w:sz w:val="24"/>
          <w:szCs w:val="24"/>
        </w:rPr>
        <w:t xml:space="preserve">for </w:t>
      </w:r>
      <w:r w:rsidR="00D323ED" w:rsidRPr="00F80A39">
        <w:rPr>
          <w:rFonts w:ascii="Times New Roman" w:hAnsi="Times New Roman" w:cs="Times New Roman"/>
          <w:sz w:val="24"/>
          <w:szCs w:val="24"/>
        </w:rPr>
        <w:t>direct</w:t>
      </w:r>
      <w:r w:rsidR="00C44886" w:rsidRPr="00F80A39">
        <w:rPr>
          <w:rFonts w:ascii="Times New Roman" w:hAnsi="Times New Roman" w:cs="Times New Roman"/>
          <w:sz w:val="24"/>
          <w:szCs w:val="24"/>
        </w:rPr>
        <w:t xml:space="preserve"> microwave regeneration </w:t>
      </w:r>
      <w:r w:rsidR="00D323ED" w:rsidRPr="00F80A39">
        <w:rPr>
          <w:rFonts w:ascii="Times New Roman" w:hAnsi="Times New Roman" w:cs="Times New Roman"/>
          <w:sz w:val="24"/>
          <w:szCs w:val="24"/>
        </w:rPr>
        <w:t xml:space="preserve">was higher than that for indirect </w:t>
      </w:r>
      <w:r w:rsidR="00C44886" w:rsidRPr="00F80A39">
        <w:rPr>
          <w:rFonts w:ascii="Times New Roman" w:hAnsi="Times New Roman" w:cs="Times New Roman"/>
          <w:sz w:val="24"/>
          <w:szCs w:val="24"/>
        </w:rPr>
        <w:t xml:space="preserve">microwave </w:t>
      </w:r>
      <w:r w:rsidR="00D323ED" w:rsidRPr="00F80A39">
        <w:rPr>
          <w:rFonts w:ascii="Times New Roman" w:hAnsi="Times New Roman" w:cs="Times New Roman"/>
          <w:sz w:val="24"/>
          <w:szCs w:val="24"/>
        </w:rPr>
        <w:t>regeneration</w:t>
      </w:r>
      <w:r w:rsidR="00C44886" w:rsidRPr="00F80A39">
        <w:rPr>
          <w:rFonts w:ascii="Times New Roman" w:hAnsi="Times New Roman" w:cs="Times New Roman"/>
          <w:sz w:val="24"/>
          <w:szCs w:val="24"/>
        </w:rPr>
        <w:t>.</w:t>
      </w:r>
      <w:r w:rsidR="00896049" w:rsidRPr="00F80A39">
        <w:rPr>
          <w:rFonts w:ascii="Times New Roman" w:hAnsi="Times New Roman"/>
          <w:sz w:val="24"/>
          <w:szCs w:val="24"/>
        </w:rPr>
        <w:t xml:space="preserve"> </w:t>
      </w:r>
      <w:r w:rsidR="00094245" w:rsidRPr="00F80A39">
        <w:rPr>
          <w:rFonts w:ascii="Times New Roman" w:hAnsi="Times New Roman"/>
          <w:sz w:val="24"/>
          <w:szCs w:val="24"/>
        </w:rPr>
        <w:t xml:space="preserve">During </w:t>
      </w:r>
      <w:r w:rsidR="00896049" w:rsidRPr="00F80A39">
        <w:rPr>
          <w:rFonts w:ascii="Times New Roman" w:hAnsi="Times New Roman"/>
          <w:sz w:val="24"/>
          <w:szCs w:val="24"/>
        </w:rPr>
        <w:t>cycles 2-5</w:t>
      </w:r>
      <w:r w:rsidR="00094245" w:rsidRPr="00F80A39">
        <w:rPr>
          <w:rFonts w:ascii="Times New Roman" w:hAnsi="Times New Roman"/>
          <w:sz w:val="24"/>
          <w:szCs w:val="24"/>
        </w:rPr>
        <w:t xml:space="preserve"> in water desorption</w:t>
      </w:r>
      <w:r w:rsidR="00896049" w:rsidRPr="00F80A39">
        <w:rPr>
          <w:rFonts w:ascii="Times New Roman" w:hAnsi="Times New Roman"/>
          <w:sz w:val="24"/>
          <w:szCs w:val="24"/>
        </w:rPr>
        <w:t xml:space="preserve">, water was not totally </w:t>
      </w:r>
      <w:r w:rsidR="00815F19" w:rsidRPr="00F80A39">
        <w:rPr>
          <w:rFonts w:ascii="Times New Roman" w:hAnsi="Times New Roman"/>
          <w:sz w:val="24"/>
          <w:szCs w:val="24"/>
        </w:rPr>
        <w:t>desorbed</w:t>
      </w:r>
      <w:r w:rsidR="00896049" w:rsidRPr="00F80A39">
        <w:rPr>
          <w:rFonts w:ascii="Times New Roman" w:hAnsi="Times New Roman"/>
          <w:sz w:val="24"/>
          <w:szCs w:val="24"/>
        </w:rPr>
        <w:t xml:space="preserve"> from Na-ETS-10</w:t>
      </w:r>
      <w:r w:rsidR="00BB5E53" w:rsidRPr="00F80A39">
        <w:rPr>
          <w:rFonts w:ascii="Times New Roman" w:hAnsi="Times New Roman"/>
          <w:sz w:val="24"/>
          <w:szCs w:val="24"/>
        </w:rPr>
        <w:t xml:space="preserve"> </w:t>
      </w:r>
      <w:r w:rsidR="00094245" w:rsidRPr="00F80A39">
        <w:rPr>
          <w:rFonts w:ascii="Times New Roman" w:hAnsi="Times New Roman"/>
          <w:sz w:val="24"/>
          <w:szCs w:val="24"/>
        </w:rPr>
        <w:t xml:space="preserve">after </w:t>
      </w:r>
      <w:r w:rsidR="00896049" w:rsidRPr="00F80A39">
        <w:rPr>
          <w:rFonts w:ascii="Times New Roman" w:hAnsi="Times New Roman"/>
          <w:sz w:val="24"/>
          <w:szCs w:val="24"/>
        </w:rPr>
        <w:t xml:space="preserve">20 minutes of microwave drying time. As </w:t>
      </w:r>
      <w:r w:rsidR="00094245" w:rsidRPr="00F80A39">
        <w:rPr>
          <w:rFonts w:ascii="Times New Roman" w:hAnsi="Times New Roman"/>
          <w:sz w:val="24"/>
          <w:szCs w:val="24"/>
        </w:rPr>
        <w:t>a result</w:t>
      </w:r>
      <w:r w:rsidR="00896049" w:rsidRPr="00F80A39">
        <w:rPr>
          <w:rFonts w:ascii="Times New Roman" w:hAnsi="Times New Roman"/>
          <w:sz w:val="24"/>
          <w:szCs w:val="24"/>
        </w:rPr>
        <w:t xml:space="preserve">, </w:t>
      </w:r>
      <w:r w:rsidR="00094245" w:rsidRPr="00F80A39">
        <w:rPr>
          <w:rFonts w:ascii="Times New Roman" w:hAnsi="Times New Roman"/>
          <w:sz w:val="24"/>
          <w:szCs w:val="24"/>
        </w:rPr>
        <w:t xml:space="preserve">there was </w:t>
      </w:r>
      <w:r w:rsidR="00896049" w:rsidRPr="00F80A39">
        <w:rPr>
          <w:rFonts w:ascii="Times New Roman" w:hAnsi="Times New Roman"/>
          <w:sz w:val="24"/>
          <w:szCs w:val="24"/>
        </w:rPr>
        <w:t>less CO</w:t>
      </w:r>
      <w:r w:rsidR="00896049" w:rsidRPr="00F80A39">
        <w:rPr>
          <w:rFonts w:ascii="Times New Roman" w:hAnsi="Times New Roman"/>
          <w:sz w:val="24"/>
          <w:szCs w:val="24"/>
          <w:vertAlign w:val="subscript"/>
        </w:rPr>
        <w:t>2</w:t>
      </w:r>
      <w:r w:rsidR="00896049" w:rsidRPr="00F80A39">
        <w:rPr>
          <w:rFonts w:ascii="Times New Roman" w:hAnsi="Times New Roman"/>
          <w:sz w:val="24"/>
          <w:szCs w:val="24"/>
        </w:rPr>
        <w:t>/CH</w:t>
      </w:r>
      <w:r w:rsidR="00896049" w:rsidRPr="00F80A39">
        <w:rPr>
          <w:rFonts w:ascii="Times New Roman" w:hAnsi="Times New Roman"/>
          <w:sz w:val="24"/>
          <w:szCs w:val="24"/>
          <w:vertAlign w:val="subscript"/>
        </w:rPr>
        <w:t>4</w:t>
      </w:r>
      <w:r w:rsidR="00896049" w:rsidRPr="00F80A39">
        <w:rPr>
          <w:rFonts w:ascii="Times New Roman" w:hAnsi="Times New Roman"/>
          <w:sz w:val="24"/>
          <w:szCs w:val="24"/>
        </w:rPr>
        <w:t xml:space="preserve"> mixture</w:t>
      </w:r>
      <w:r w:rsidR="00BB5E53" w:rsidRPr="00F80A39">
        <w:rPr>
          <w:rFonts w:ascii="Times New Roman" w:hAnsi="Times New Roman"/>
          <w:sz w:val="24"/>
          <w:szCs w:val="24"/>
        </w:rPr>
        <w:t xml:space="preserve"> </w:t>
      </w:r>
      <w:r w:rsidR="00896049" w:rsidRPr="00F80A39">
        <w:rPr>
          <w:rFonts w:ascii="Times New Roman" w:hAnsi="Times New Roman"/>
          <w:sz w:val="24"/>
          <w:szCs w:val="24"/>
        </w:rPr>
        <w:t>adsorbed in the 2</w:t>
      </w:r>
      <w:r w:rsidR="00896049" w:rsidRPr="00F80A39">
        <w:rPr>
          <w:rFonts w:ascii="Times New Roman" w:hAnsi="Times New Roman"/>
          <w:sz w:val="24"/>
          <w:szCs w:val="24"/>
          <w:vertAlign w:val="superscript"/>
        </w:rPr>
        <w:t>nd</w:t>
      </w:r>
      <w:r w:rsidR="00896049" w:rsidRPr="00F80A39">
        <w:rPr>
          <w:rFonts w:ascii="Times New Roman" w:hAnsi="Times New Roman"/>
          <w:sz w:val="24"/>
          <w:szCs w:val="24"/>
        </w:rPr>
        <w:t xml:space="preserve"> </w:t>
      </w:r>
      <w:r w:rsidR="000704B8" w:rsidRPr="00F80A39">
        <w:rPr>
          <w:rFonts w:ascii="Times New Roman" w:hAnsi="Times New Roman"/>
          <w:sz w:val="24"/>
          <w:szCs w:val="24"/>
        </w:rPr>
        <w:t xml:space="preserve">and subsequent </w:t>
      </w:r>
      <w:r w:rsidR="00A159A7" w:rsidRPr="00F80A39">
        <w:rPr>
          <w:rFonts w:ascii="Times New Roman" w:hAnsi="Times New Roman"/>
          <w:sz w:val="24"/>
          <w:szCs w:val="24"/>
        </w:rPr>
        <w:t>adsorption cycles,</w:t>
      </w:r>
      <w:r w:rsidR="00896049" w:rsidRPr="00F80A39">
        <w:rPr>
          <w:rFonts w:ascii="Times New Roman" w:hAnsi="Times New Roman"/>
          <w:sz w:val="24"/>
          <w:szCs w:val="24"/>
        </w:rPr>
        <w:t xml:space="preserve"> </w:t>
      </w:r>
      <w:r w:rsidR="00094245" w:rsidRPr="00F80A39">
        <w:rPr>
          <w:rFonts w:ascii="Times New Roman" w:hAnsi="Times New Roman"/>
          <w:sz w:val="24"/>
          <w:szCs w:val="24"/>
        </w:rPr>
        <w:t xml:space="preserve">which led to a </w:t>
      </w:r>
      <w:r w:rsidR="000704B8" w:rsidRPr="00F80A39">
        <w:rPr>
          <w:rFonts w:ascii="Times New Roman" w:hAnsi="Times New Roman"/>
          <w:sz w:val="24"/>
          <w:szCs w:val="24"/>
        </w:rPr>
        <w:t>lower gas</w:t>
      </w:r>
      <w:r w:rsidR="00094245" w:rsidRPr="00F80A39">
        <w:rPr>
          <w:rFonts w:ascii="Times New Roman" w:hAnsi="Times New Roman"/>
          <w:sz w:val="24"/>
          <w:szCs w:val="24"/>
        </w:rPr>
        <w:t xml:space="preserve"> recovery</w:t>
      </w:r>
      <w:r w:rsidR="00896049" w:rsidRPr="00F80A39">
        <w:rPr>
          <w:rFonts w:ascii="Times New Roman" w:hAnsi="Times New Roman"/>
          <w:sz w:val="24"/>
          <w:szCs w:val="24"/>
        </w:rPr>
        <w:t xml:space="preserve">. A longer microwave drying time could </w:t>
      </w:r>
      <w:r w:rsidR="00353A20" w:rsidRPr="00F80A39">
        <w:rPr>
          <w:rFonts w:ascii="Times New Roman" w:hAnsi="Times New Roman"/>
          <w:sz w:val="24"/>
          <w:szCs w:val="24"/>
        </w:rPr>
        <w:t xml:space="preserve">enhance </w:t>
      </w:r>
      <w:r w:rsidR="000704B8" w:rsidRPr="00F80A39">
        <w:rPr>
          <w:rFonts w:ascii="Times New Roman" w:hAnsi="Times New Roman"/>
          <w:sz w:val="24"/>
          <w:szCs w:val="24"/>
        </w:rPr>
        <w:t xml:space="preserve">water desorption and </w:t>
      </w:r>
      <w:r w:rsidR="00353A20" w:rsidRPr="00F80A39">
        <w:rPr>
          <w:rFonts w:ascii="Times New Roman" w:hAnsi="Times New Roman"/>
          <w:sz w:val="24"/>
          <w:szCs w:val="24"/>
        </w:rPr>
        <w:t xml:space="preserve">increase </w:t>
      </w:r>
      <w:r w:rsidR="00896049" w:rsidRPr="00F80A39">
        <w:rPr>
          <w:rFonts w:ascii="Times New Roman" w:hAnsi="Times New Roman"/>
          <w:sz w:val="24"/>
          <w:szCs w:val="24"/>
        </w:rPr>
        <w:t xml:space="preserve">the swing capacity </w:t>
      </w:r>
      <w:r w:rsidR="000704B8" w:rsidRPr="00F80A39">
        <w:rPr>
          <w:rFonts w:ascii="Times New Roman" w:hAnsi="Times New Roman"/>
          <w:sz w:val="24"/>
          <w:szCs w:val="24"/>
        </w:rPr>
        <w:t>of the adsorbent</w:t>
      </w:r>
      <w:r w:rsidR="00896049" w:rsidRPr="00F80A39">
        <w:rPr>
          <w:rFonts w:ascii="Times New Roman" w:hAnsi="Times New Roman"/>
          <w:sz w:val="24"/>
          <w:szCs w:val="24"/>
        </w:rPr>
        <w:t xml:space="preserve"> </w:t>
      </w:r>
      <w:r w:rsidR="00353A20" w:rsidRPr="00F80A39">
        <w:rPr>
          <w:rFonts w:ascii="Times New Roman" w:hAnsi="Times New Roman"/>
          <w:sz w:val="24"/>
          <w:szCs w:val="24"/>
        </w:rPr>
        <w:t xml:space="preserve">increasing </w:t>
      </w:r>
      <w:r w:rsidR="00896049" w:rsidRPr="00F80A39">
        <w:rPr>
          <w:rFonts w:ascii="Times New Roman" w:hAnsi="Times New Roman"/>
          <w:sz w:val="24"/>
          <w:szCs w:val="24"/>
        </w:rPr>
        <w:t>the gas recover</w:t>
      </w:r>
      <w:r w:rsidR="000704B8" w:rsidRPr="00F80A39">
        <w:rPr>
          <w:rFonts w:ascii="Times New Roman" w:hAnsi="Times New Roman"/>
          <w:sz w:val="24"/>
          <w:szCs w:val="24"/>
        </w:rPr>
        <w:t>y</w:t>
      </w:r>
      <w:r w:rsidR="00896049" w:rsidRPr="00F80A39">
        <w:rPr>
          <w:rFonts w:ascii="Times New Roman" w:hAnsi="Times New Roman"/>
          <w:sz w:val="24"/>
          <w:szCs w:val="24"/>
        </w:rPr>
        <w:t xml:space="preserve"> </w:t>
      </w:r>
      <w:r w:rsidR="000704B8" w:rsidRPr="00F80A39">
        <w:rPr>
          <w:rFonts w:ascii="Times New Roman" w:hAnsi="Times New Roman"/>
          <w:sz w:val="24"/>
          <w:szCs w:val="24"/>
        </w:rPr>
        <w:t xml:space="preserve">for </w:t>
      </w:r>
      <w:r w:rsidR="00896049" w:rsidRPr="00F80A39">
        <w:rPr>
          <w:rFonts w:ascii="Times New Roman" w:hAnsi="Times New Roman"/>
          <w:sz w:val="24"/>
          <w:szCs w:val="24"/>
        </w:rPr>
        <w:t>cycles 2</w:t>
      </w:r>
      <w:r w:rsidR="000704B8" w:rsidRPr="00F80A39">
        <w:rPr>
          <w:rFonts w:ascii="Times New Roman" w:hAnsi="Times New Roman"/>
          <w:sz w:val="24"/>
          <w:szCs w:val="24"/>
        </w:rPr>
        <w:t xml:space="preserve"> to</w:t>
      </w:r>
      <w:r w:rsidR="00702564" w:rsidRPr="00F80A39">
        <w:rPr>
          <w:rFonts w:ascii="Times New Roman" w:hAnsi="Times New Roman"/>
          <w:sz w:val="24"/>
          <w:szCs w:val="24"/>
        </w:rPr>
        <w:t xml:space="preserve"> </w:t>
      </w:r>
      <w:r w:rsidR="00896049" w:rsidRPr="00F80A39">
        <w:rPr>
          <w:rFonts w:ascii="Times New Roman" w:hAnsi="Times New Roman"/>
          <w:sz w:val="24"/>
          <w:szCs w:val="24"/>
        </w:rPr>
        <w:t>5.</w:t>
      </w:r>
    </w:p>
    <w:p w14:paraId="3FF7DF00" w14:textId="144081B6" w:rsidR="001F1A25" w:rsidRDefault="00D323ED"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Indirect microwave regeneration was more energy intensive than direct microwave regeneration</w:t>
      </w:r>
      <w:r w:rsidR="00200281" w:rsidRPr="00F80A39">
        <w:rPr>
          <w:rFonts w:ascii="Times New Roman" w:hAnsi="Times New Roman" w:cs="Times New Roman"/>
          <w:sz w:val="24"/>
          <w:szCs w:val="24"/>
        </w:rPr>
        <w:t xml:space="preserve"> (Figure 6, Table </w:t>
      </w:r>
      <w:r w:rsidR="002341F0" w:rsidRPr="00F80A39">
        <w:rPr>
          <w:rFonts w:ascii="Times New Roman" w:hAnsi="Times New Roman" w:cs="Times New Roman"/>
          <w:sz w:val="24"/>
          <w:szCs w:val="24"/>
        </w:rPr>
        <w:t>2</w:t>
      </w:r>
      <w:r w:rsidR="00200281" w:rsidRPr="00F80A39">
        <w:rPr>
          <w:rFonts w:ascii="Times New Roman" w:hAnsi="Times New Roman" w:cs="Times New Roman"/>
          <w:sz w:val="24"/>
          <w:szCs w:val="24"/>
        </w:rPr>
        <w:t>)</w:t>
      </w:r>
      <w:r w:rsidRPr="00F80A39">
        <w:rPr>
          <w:rFonts w:ascii="Times New Roman" w:hAnsi="Times New Roman" w:cs="Times New Roman"/>
          <w:sz w:val="24"/>
          <w:szCs w:val="24"/>
        </w:rPr>
        <w:t xml:space="preserve">. </w:t>
      </w:r>
      <w:r w:rsidR="003741E6" w:rsidRPr="00F80A39">
        <w:rPr>
          <w:rFonts w:ascii="Times New Roman" w:hAnsi="Times New Roman" w:cs="Times New Roman"/>
          <w:sz w:val="24"/>
          <w:szCs w:val="24"/>
        </w:rPr>
        <w:t xml:space="preserve">On average, 2,463 J microwave energy was needed to regenerate 1g of Na-ETS-10 in </w:t>
      </w:r>
      <w:r w:rsidRPr="00F80A39">
        <w:rPr>
          <w:rFonts w:ascii="Times New Roman" w:hAnsi="Times New Roman" w:cs="Times New Roman"/>
          <w:sz w:val="24"/>
          <w:szCs w:val="24"/>
        </w:rPr>
        <w:t xml:space="preserve">indirect microwave regeneration </w:t>
      </w:r>
      <w:r w:rsidR="0029392F" w:rsidRPr="00F80A39">
        <w:rPr>
          <w:rFonts w:ascii="Times New Roman" w:hAnsi="Times New Roman" w:cs="Times New Roman"/>
          <w:sz w:val="24"/>
          <w:szCs w:val="24"/>
        </w:rPr>
        <w:t xml:space="preserve">while </w:t>
      </w:r>
      <w:r w:rsidRPr="00F80A39">
        <w:rPr>
          <w:rFonts w:ascii="Times New Roman" w:hAnsi="Times New Roman" w:cs="Times New Roman"/>
          <w:sz w:val="24"/>
          <w:szCs w:val="24"/>
        </w:rPr>
        <w:t>direct</w:t>
      </w:r>
      <w:r w:rsidR="007E3C27" w:rsidRPr="00F80A39">
        <w:rPr>
          <w:rFonts w:ascii="Times New Roman" w:hAnsi="Times New Roman" w:cs="Times New Roman"/>
          <w:sz w:val="24"/>
          <w:szCs w:val="24"/>
        </w:rPr>
        <w:t xml:space="preserve"> microwave </w:t>
      </w:r>
      <w:r w:rsidRPr="00F80A39">
        <w:rPr>
          <w:rFonts w:ascii="Times New Roman" w:hAnsi="Times New Roman" w:cs="Times New Roman"/>
          <w:sz w:val="24"/>
          <w:szCs w:val="24"/>
        </w:rPr>
        <w:t xml:space="preserve">regeneration </w:t>
      </w:r>
      <w:r w:rsidR="007E3C27" w:rsidRPr="00F80A39">
        <w:rPr>
          <w:rFonts w:ascii="Times New Roman" w:hAnsi="Times New Roman" w:cs="Times New Roman"/>
          <w:sz w:val="24"/>
          <w:szCs w:val="24"/>
        </w:rPr>
        <w:t xml:space="preserve">consumed 324 J </w:t>
      </w:r>
      <w:r w:rsidR="0029392F" w:rsidRPr="00F80A39">
        <w:rPr>
          <w:rFonts w:ascii="Times New Roman" w:hAnsi="Times New Roman" w:cs="Times New Roman"/>
          <w:sz w:val="24"/>
          <w:szCs w:val="24"/>
        </w:rPr>
        <w:t>per gram of Na-ETS-10</w:t>
      </w:r>
      <w:r w:rsidR="007E3C27" w:rsidRPr="00F80A39">
        <w:rPr>
          <w:rFonts w:ascii="Times New Roman" w:hAnsi="Times New Roman" w:cs="Times New Roman"/>
          <w:sz w:val="24"/>
          <w:szCs w:val="24"/>
        </w:rPr>
        <w:t xml:space="preserve"> </w:t>
      </w:r>
      <w:r w:rsidR="000619F6" w:rsidRPr="00F80A39">
        <w:rPr>
          <w:rFonts w:ascii="Times New Roman" w:hAnsi="Times New Roman" w:cs="Times New Roman"/>
          <w:sz w:val="24"/>
          <w:szCs w:val="24"/>
        </w:rPr>
        <w:t xml:space="preserve">regenerated </w:t>
      </w:r>
      <w:r w:rsidR="007E3C27" w:rsidRPr="00F80A39">
        <w:rPr>
          <w:rFonts w:ascii="Times New Roman" w:hAnsi="Times New Roman" w:cs="Times New Roman"/>
          <w:sz w:val="24"/>
          <w:szCs w:val="24"/>
        </w:rPr>
        <w:t>over five cycles of adsorption</w:t>
      </w:r>
      <w:r w:rsidR="000619F6" w:rsidRPr="00F80A39">
        <w:rPr>
          <w:rFonts w:ascii="Times New Roman" w:hAnsi="Times New Roman" w:cs="Times New Roman"/>
          <w:sz w:val="24"/>
          <w:szCs w:val="24"/>
        </w:rPr>
        <w:t>-</w:t>
      </w:r>
      <w:r w:rsidR="007E3C27" w:rsidRPr="00F80A39">
        <w:rPr>
          <w:rFonts w:ascii="Times New Roman" w:hAnsi="Times New Roman" w:cs="Times New Roman"/>
          <w:sz w:val="24"/>
          <w:szCs w:val="24"/>
        </w:rPr>
        <w:t>desorption.</w:t>
      </w:r>
      <w:r w:rsidR="002276C8" w:rsidRPr="00F80A39">
        <w:rPr>
          <w:rFonts w:ascii="Times New Roman" w:hAnsi="Times New Roman" w:cs="Times New Roman"/>
          <w:sz w:val="24"/>
          <w:szCs w:val="24"/>
        </w:rPr>
        <w:t xml:space="preserve"> </w:t>
      </w:r>
      <w:r w:rsidRPr="00F80A39">
        <w:rPr>
          <w:rFonts w:ascii="Times New Roman" w:hAnsi="Times New Roman" w:cs="Times New Roman"/>
          <w:sz w:val="24"/>
          <w:szCs w:val="24"/>
        </w:rPr>
        <w:t>Indirect and direct microwave regeneration</w:t>
      </w:r>
      <w:r w:rsidR="001F1A25" w:rsidRPr="00F80A39">
        <w:rPr>
          <w:rFonts w:ascii="Times New Roman" w:hAnsi="Times New Roman" w:cs="Times New Roman"/>
          <w:sz w:val="24"/>
          <w:szCs w:val="24"/>
        </w:rPr>
        <w:t xml:space="preserve"> required 694 J</w:t>
      </w:r>
      <w:r w:rsidRPr="00F80A39">
        <w:rPr>
          <w:rFonts w:ascii="Times New Roman" w:hAnsi="Times New Roman" w:cs="Times New Roman"/>
          <w:sz w:val="24"/>
          <w:szCs w:val="24"/>
        </w:rPr>
        <w:t xml:space="preserve"> and </w:t>
      </w:r>
      <w:r w:rsidR="001F1A25" w:rsidRPr="00F80A39">
        <w:rPr>
          <w:rFonts w:ascii="Times New Roman" w:hAnsi="Times New Roman" w:cs="Times New Roman"/>
          <w:sz w:val="24"/>
          <w:szCs w:val="24"/>
        </w:rPr>
        <w:t xml:space="preserve">420 J </w:t>
      </w:r>
      <w:r w:rsidR="0029392F" w:rsidRPr="00F80A39">
        <w:rPr>
          <w:rFonts w:ascii="Times New Roman" w:hAnsi="Times New Roman" w:cs="Times New Roman"/>
          <w:sz w:val="24"/>
          <w:szCs w:val="24"/>
        </w:rPr>
        <w:t>per</w:t>
      </w:r>
      <w:r w:rsidR="001F1A25" w:rsidRPr="00F80A39">
        <w:rPr>
          <w:rFonts w:ascii="Times New Roman" w:hAnsi="Times New Roman" w:cs="Times New Roman"/>
          <w:sz w:val="24"/>
          <w:szCs w:val="24"/>
        </w:rPr>
        <w:t xml:space="preserve"> mmol of the </w:t>
      </w:r>
      <w:r w:rsidR="00061EBD" w:rsidRPr="00F80A39">
        <w:rPr>
          <w:rFonts w:ascii="Times New Roman" w:hAnsi="Times New Roman" w:cs="Times New Roman"/>
          <w:sz w:val="24"/>
          <w:szCs w:val="24"/>
        </w:rPr>
        <w:t>de</w:t>
      </w:r>
      <w:r w:rsidR="001F1A25" w:rsidRPr="00F80A39">
        <w:rPr>
          <w:rFonts w:ascii="Times New Roman" w:hAnsi="Times New Roman" w:cs="Times New Roman"/>
          <w:sz w:val="24"/>
          <w:szCs w:val="24"/>
        </w:rPr>
        <w:t>sorbed CO</w:t>
      </w:r>
      <w:r w:rsidR="001F1A25" w:rsidRPr="00F80A39">
        <w:rPr>
          <w:rFonts w:ascii="Times New Roman" w:hAnsi="Times New Roman" w:cs="Times New Roman"/>
          <w:sz w:val="24"/>
          <w:szCs w:val="24"/>
          <w:vertAlign w:val="subscript"/>
        </w:rPr>
        <w:t>2</w:t>
      </w:r>
      <w:r w:rsidR="001F1A25" w:rsidRPr="00F80A39">
        <w:rPr>
          <w:rFonts w:ascii="Times New Roman" w:hAnsi="Times New Roman" w:cs="Times New Roman"/>
          <w:sz w:val="24"/>
          <w:szCs w:val="24"/>
        </w:rPr>
        <w:t>/CH</w:t>
      </w:r>
      <w:r w:rsidR="001F1A25" w:rsidRPr="00F80A39">
        <w:rPr>
          <w:rFonts w:ascii="Times New Roman" w:hAnsi="Times New Roman" w:cs="Times New Roman"/>
          <w:sz w:val="24"/>
          <w:szCs w:val="24"/>
          <w:vertAlign w:val="subscript"/>
        </w:rPr>
        <w:t>4</w:t>
      </w:r>
      <w:r w:rsidR="001F1A25" w:rsidRPr="00F80A39">
        <w:rPr>
          <w:rFonts w:ascii="Times New Roman" w:hAnsi="Times New Roman" w:cs="Times New Roman"/>
          <w:sz w:val="24"/>
          <w:szCs w:val="24"/>
        </w:rPr>
        <w:t xml:space="preserve"> mixture.</w:t>
      </w:r>
      <w:r w:rsidR="002276C8" w:rsidRPr="00F80A39">
        <w:rPr>
          <w:rFonts w:ascii="Times New Roman" w:hAnsi="Times New Roman" w:cs="Times New Roman"/>
          <w:sz w:val="24"/>
          <w:szCs w:val="24"/>
        </w:rPr>
        <w:t xml:space="preserve"> </w:t>
      </w:r>
      <w:r w:rsidR="00E47D19" w:rsidRPr="00F80A39">
        <w:rPr>
          <w:rFonts w:ascii="Times New Roman" w:hAnsi="Times New Roman" w:cs="Times New Roman"/>
          <w:sz w:val="24"/>
          <w:szCs w:val="24"/>
        </w:rPr>
        <w:t xml:space="preserve">Indirect microwave regeneration consumed more energy </w:t>
      </w:r>
      <w:r w:rsidR="00353A20" w:rsidRPr="00F80A39">
        <w:rPr>
          <w:rFonts w:ascii="Times New Roman" w:hAnsi="Times New Roman" w:cs="Times New Roman"/>
          <w:sz w:val="24"/>
          <w:szCs w:val="24"/>
        </w:rPr>
        <w:t xml:space="preserve">than direct microwave regeneration </w:t>
      </w:r>
      <w:r w:rsidR="00E47D19" w:rsidRPr="00F80A39">
        <w:rPr>
          <w:rFonts w:ascii="Times New Roman" w:hAnsi="Times New Roman" w:cs="Times New Roman"/>
          <w:sz w:val="24"/>
          <w:szCs w:val="24"/>
        </w:rPr>
        <w:t xml:space="preserve">because </w:t>
      </w:r>
      <w:r w:rsidR="00702564" w:rsidRPr="00F80A39">
        <w:rPr>
          <w:rFonts w:ascii="Times New Roman" w:hAnsi="Times New Roman" w:cs="Times New Roman"/>
          <w:sz w:val="24"/>
          <w:szCs w:val="24"/>
        </w:rPr>
        <w:t>Na-</w:t>
      </w:r>
      <w:r w:rsidR="00E47D19" w:rsidRPr="00F80A39">
        <w:rPr>
          <w:rFonts w:ascii="Times New Roman" w:hAnsi="Times New Roman" w:cs="Times New Roman"/>
          <w:sz w:val="24"/>
          <w:szCs w:val="24"/>
        </w:rPr>
        <w:t>ETS</w:t>
      </w:r>
      <w:r w:rsidR="00702564" w:rsidRPr="00F80A39">
        <w:rPr>
          <w:rFonts w:ascii="Times New Roman" w:hAnsi="Times New Roman" w:cs="Times New Roman"/>
          <w:sz w:val="24"/>
          <w:szCs w:val="24"/>
        </w:rPr>
        <w:t>-</w:t>
      </w:r>
      <w:r w:rsidR="00E47D19" w:rsidRPr="00F80A39">
        <w:rPr>
          <w:rFonts w:ascii="Times New Roman" w:hAnsi="Times New Roman" w:cs="Times New Roman"/>
          <w:sz w:val="24"/>
          <w:szCs w:val="24"/>
        </w:rPr>
        <w:t xml:space="preserve">10 adsorbed more water than </w:t>
      </w:r>
      <w:r w:rsidR="00F554C2" w:rsidRPr="00F80A39">
        <w:rPr>
          <w:rFonts w:ascii="Times New Roman" w:hAnsi="Times New Roman" w:cs="Times New Roman"/>
          <w:sz w:val="24"/>
          <w:szCs w:val="24"/>
        </w:rPr>
        <w:t xml:space="preserve">the </w:t>
      </w:r>
      <w:r w:rsidR="00E47D19" w:rsidRPr="00F80A39">
        <w:rPr>
          <w:rFonts w:ascii="Times New Roman" w:hAnsi="Times New Roman" w:cs="Times New Roman"/>
          <w:sz w:val="24"/>
          <w:szCs w:val="24"/>
        </w:rPr>
        <w:t>CO</w:t>
      </w:r>
      <w:r w:rsidR="00E47D19" w:rsidRPr="00F80A39">
        <w:rPr>
          <w:rFonts w:ascii="Times New Roman" w:hAnsi="Times New Roman" w:cs="Times New Roman"/>
          <w:sz w:val="24"/>
          <w:szCs w:val="24"/>
          <w:vertAlign w:val="subscript"/>
        </w:rPr>
        <w:t>2</w:t>
      </w:r>
      <w:r w:rsidR="00E47D19" w:rsidRPr="00F80A39">
        <w:rPr>
          <w:rFonts w:ascii="Times New Roman" w:hAnsi="Times New Roman" w:cs="Times New Roman"/>
          <w:sz w:val="24"/>
          <w:szCs w:val="24"/>
        </w:rPr>
        <w:t>/CH</w:t>
      </w:r>
      <w:r w:rsidR="00E47D19" w:rsidRPr="00F80A39">
        <w:rPr>
          <w:rFonts w:ascii="Times New Roman" w:hAnsi="Times New Roman" w:cs="Times New Roman"/>
          <w:sz w:val="24"/>
          <w:szCs w:val="24"/>
          <w:vertAlign w:val="subscript"/>
        </w:rPr>
        <w:t>4</w:t>
      </w:r>
      <w:r w:rsidR="00E47D19" w:rsidRPr="00F80A39">
        <w:rPr>
          <w:rFonts w:ascii="Times New Roman" w:hAnsi="Times New Roman" w:cs="Times New Roman"/>
          <w:sz w:val="24"/>
          <w:szCs w:val="24"/>
        </w:rPr>
        <w:t xml:space="preserve"> mixture. The adsorption capacity of </w:t>
      </w:r>
      <w:r w:rsidR="00702564" w:rsidRPr="00F80A39">
        <w:rPr>
          <w:rFonts w:ascii="Times New Roman" w:hAnsi="Times New Roman" w:cs="Times New Roman"/>
          <w:sz w:val="24"/>
          <w:szCs w:val="24"/>
        </w:rPr>
        <w:t>Na-</w:t>
      </w:r>
      <w:r w:rsidR="00E47D19" w:rsidRPr="00F80A39">
        <w:rPr>
          <w:rFonts w:ascii="Times New Roman" w:hAnsi="Times New Roman" w:cs="Times New Roman"/>
          <w:sz w:val="24"/>
          <w:szCs w:val="24"/>
        </w:rPr>
        <w:t>ETS-10 for water is 0.14 g/g (7.8 mmol/g)</w:t>
      </w:r>
      <w:r w:rsidR="00F554C2" w:rsidRPr="00F80A39">
        <w:rPr>
          <w:rFonts w:ascii="Times New Roman" w:hAnsi="Times New Roman" w:cs="Times New Roman"/>
          <w:sz w:val="24"/>
          <w:szCs w:val="24"/>
        </w:rPr>
        <w:t xml:space="preserve"> while it is</w:t>
      </w:r>
      <w:r w:rsidR="009557F5" w:rsidRPr="00F80A39">
        <w:rPr>
          <w:rFonts w:ascii="Times New Roman" w:hAnsi="Times New Roman" w:cs="Times New Roman"/>
          <w:sz w:val="24"/>
          <w:szCs w:val="24"/>
        </w:rPr>
        <w:t xml:space="preserve"> </w:t>
      </w:r>
      <w:r w:rsidR="00E47D19" w:rsidRPr="00F80A39">
        <w:rPr>
          <w:rFonts w:ascii="Times New Roman" w:hAnsi="Times New Roman" w:cs="Times New Roman"/>
          <w:sz w:val="24"/>
          <w:szCs w:val="24"/>
        </w:rPr>
        <w:t>0.09</w:t>
      </w:r>
      <w:r w:rsidR="00F554C2" w:rsidRPr="00F80A39">
        <w:rPr>
          <w:rFonts w:ascii="Times New Roman" w:hAnsi="Times New Roman" w:cs="Times New Roman"/>
          <w:sz w:val="24"/>
          <w:szCs w:val="24"/>
        </w:rPr>
        <w:t xml:space="preserve"> </w:t>
      </w:r>
      <w:r w:rsidR="00E47D19" w:rsidRPr="00F80A39">
        <w:rPr>
          <w:rFonts w:ascii="Times New Roman" w:hAnsi="Times New Roman" w:cs="Times New Roman"/>
          <w:sz w:val="24"/>
          <w:szCs w:val="24"/>
        </w:rPr>
        <w:t>g/g (2.0</w:t>
      </w:r>
      <w:r w:rsidR="00702564" w:rsidRPr="00F80A39">
        <w:rPr>
          <w:rFonts w:ascii="Times New Roman" w:hAnsi="Times New Roman" w:cs="Times New Roman"/>
          <w:sz w:val="24"/>
          <w:szCs w:val="24"/>
        </w:rPr>
        <w:t xml:space="preserve"> </w:t>
      </w:r>
      <w:r w:rsidR="00E47D19" w:rsidRPr="00F80A39">
        <w:rPr>
          <w:rFonts w:ascii="Times New Roman" w:hAnsi="Times New Roman" w:cs="Times New Roman"/>
          <w:sz w:val="24"/>
          <w:szCs w:val="24"/>
        </w:rPr>
        <w:t>mmol/g) and 0.01 g/g (0.8 mmol/g) for CO</w:t>
      </w:r>
      <w:r w:rsidR="00E47D19" w:rsidRPr="00F80A39">
        <w:rPr>
          <w:rFonts w:ascii="Times New Roman" w:hAnsi="Times New Roman" w:cs="Times New Roman"/>
          <w:sz w:val="24"/>
          <w:szCs w:val="24"/>
          <w:vertAlign w:val="subscript"/>
        </w:rPr>
        <w:t>2</w:t>
      </w:r>
      <w:r w:rsidR="00E47D19" w:rsidRPr="00F80A39">
        <w:rPr>
          <w:rFonts w:ascii="Times New Roman" w:hAnsi="Times New Roman" w:cs="Times New Roman"/>
          <w:sz w:val="24"/>
          <w:szCs w:val="24"/>
        </w:rPr>
        <w:t xml:space="preserve"> and CH</w:t>
      </w:r>
      <w:r w:rsidR="00E47D19" w:rsidRPr="00F80A39">
        <w:rPr>
          <w:rFonts w:ascii="Times New Roman" w:hAnsi="Times New Roman" w:cs="Times New Roman"/>
          <w:sz w:val="24"/>
          <w:szCs w:val="24"/>
          <w:vertAlign w:val="subscript"/>
        </w:rPr>
        <w:t>4</w:t>
      </w:r>
      <w:r w:rsidR="00E47D19" w:rsidRPr="00F80A39">
        <w:rPr>
          <w:rFonts w:ascii="Times New Roman" w:hAnsi="Times New Roman" w:cs="Times New Roman"/>
          <w:sz w:val="24"/>
          <w:szCs w:val="24"/>
        </w:rPr>
        <w:t xml:space="preserve">, respectively. </w:t>
      </w:r>
      <w:r w:rsidR="00606A00" w:rsidRPr="00F80A39">
        <w:rPr>
          <w:rFonts w:ascii="Times New Roman" w:hAnsi="Times New Roman" w:cs="Times New Roman"/>
          <w:sz w:val="24"/>
          <w:szCs w:val="24"/>
        </w:rPr>
        <w:t>If</w:t>
      </w:r>
      <w:r w:rsidR="00E47D19" w:rsidRPr="00F80A39">
        <w:rPr>
          <w:rFonts w:ascii="Times New Roman" w:hAnsi="Times New Roman" w:cs="Times New Roman"/>
          <w:sz w:val="24"/>
          <w:szCs w:val="24"/>
        </w:rPr>
        <w:t xml:space="preserve"> normalised by the </w:t>
      </w:r>
      <w:r w:rsidR="00194312" w:rsidRPr="00F80A39">
        <w:rPr>
          <w:rFonts w:ascii="Times New Roman" w:hAnsi="Times New Roman" w:cs="Times New Roman"/>
          <w:sz w:val="24"/>
          <w:szCs w:val="24"/>
        </w:rPr>
        <w:t xml:space="preserve">number </w:t>
      </w:r>
      <w:r w:rsidR="00194312" w:rsidRPr="00F80A39">
        <w:rPr>
          <w:rFonts w:ascii="Times New Roman" w:hAnsi="Times New Roman" w:cs="Times New Roman"/>
          <w:sz w:val="24"/>
          <w:szCs w:val="24"/>
        </w:rPr>
        <w:lastRenderedPageBreak/>
        <w:t xml:space="preserve">of moles of desorbed adsorbate, </w:t>
      </w:r>
      <w:r w:rsidR="00E47D19" w:rsidRPr="00F80A39">
        <w:rPr>
          <w:rFonts w:ascii="Times New Roman" w:hAnsi="Times New Roman" w:cs="Times New Roman"/>
          <w:sz w:val="24"/>
          <w:szCs w:val="24"/>
        </w:rPr>
        <w:t>the energy consumed for drying ETS-10 (29</w:t>
      </w:r>
      <w:r w:rsidR="00702564" w:rsidRPr="00F80A39">
        <w:rPr>
          <w:rFonts w:ascii="Times New Roman" w:hAnsi="Times New Roman" w:cs="Times New Roman"/>
          <w:sz w:val="24"/>
          <w:szCs w:val="24"/>
        </w:rPr>
        <w:t>5</w:t>
      </w:r>
      <w:r w:rsidR="00E47D19" w:rsidRPr="00F80A39">
        <w:rPr>
          <w:rFonts w:ascii="Times New Roman" w:hAnsi="Times New Roman" w:cs="Times New Roman"/>
          <w:sz w:val="24"/>
          <w:szCs w:val="24"/>
        </w:rPr>
        <w:t xml:space="preserve"> J/mmol desorbed water) is comp</w:t>
      </w:r>
      <w:r w:rsidR="002C0E35" w:rsidRPr="00F80A39">
        <w:rPr>
          <w:rFonts w:ascii="Times New Roman" w:hAnsi="Times New Roman" w:cs="Times New Roman"/>
          <w:sz w:val="24"/>
          <w:szCs w:val="24"/>
        </w:rPr>
        <w:t>arable to the energy consumed for</w:t>
      </w:r>
      <w:r w:rsidR="00E47D19" w:rsidRPr="00F80A39">
        <w:rPr>
          <w:rFonts w:ascii="Times New Roman" w:hAnsi="Times New Roman" w:cs="Times New Roman"/>
          <w:sz w:val="24"/>
          <w:szCs w:val="24"/>
        </w:rPr>
        <w:t xml:space="preserve"> desorbing CO</w:t>
      </w:r>
      <w:r w:rsidR="00E47D19" w:rsidRPr="00F80A39">
        <w:rPr>
          <w:rFonts w:ascii="Times New Roman" w:hAnsi="Times New Roman" w:cs="Times New Roman"/>
          <w:sz w:val="24"/>
          <w:szCs w:val="24"/>
          <w:vertAlign w:val="subscript"/>
        </w:rPr>
        <w:t>2</w:t>
      </w:r>
      <w:r w:rsidR="00E47D19" w:rsidRPr="00F80A39">
        <w:rPr>
          <w:rFonts w:ascii="Times New Roman" w:hAnsi="Times New Roman" w:cs="Times New Roman"/>
          <w:sz w:val="24"/>
          <w:szCs w:val="24"/>
        </w:rPr>
        <w:t>/CH</w:t>
      </w:r>
      <w:r w:rsidR="00E47D19" w:rsidRPr="00F80A39">
        <w:rPr>
          <w:rFonts w:ascii="Times New Roman" w:hAnsi="Times New Roman" w:cs="Times New Roman"/>
          <w:sz w:val="24"/>
          <w:szCs w:val="24"/>
          <w:vertAlign w:val="subscript"/>
        </w:rPr>
        <w:t>4</w:t>
      </w:r>
      <w:r w:rsidR="00E47D19" w:rsidRPr="00F80A39">
        <w:rPr>
          <w:rFonts w:ascii="Times New Roman" w:hAnsi="Times New Roman" w:cs="Times New Roman"/>
          <w:sz w:val="24"/>
          <w:szCs w:val="24"/>
        </w:rPr>
        <w:t xml:space="preserve"> from ETS-10 </w:t>
      </w:r>
      <w:r w:rsidR="00194312" w:rsidRPr="00F80A39">
        <w:rPr>
          <w:rFonts w:ascii="Times New Roman" w:hAnsi="Times New Roman" w:cs="Times New Roman"/>
          <w:sz w:val="24"/>
          <w:szCs w:val="24"/>
        </w:rPr>
        <w:t xml:space="preserve">(419 J/mmol) </w:t>
      </w:r>
      <w:r w:rsidR="00E47D19" w:rsidRPr="00F80A39">
        <w:rPr>
          <w:rFonts w:ascii="Times New Roman" w:hAnsi="Times New Roman" w:cs="Times New Roman"/>
          <w:sz w:val="24"/>
          <w:szCs w:val="24"/>
        </w:rPr>
        <w:t>through direct microwave regeneration</w:t>
      </w:r>
      <w:r w:rsidR="00194312" w:rsidRPr="00F80A39">
        <w:rPr>
          <w:rFonts w:ascii="Times New Roman" w:hAnsi="Times New Roman" w:cs="Times New Roman"/>
          <w:sz w:val="24"/>
          <w:szCs w:val="24"/>
        </w:rPr>
        <w:t>.</w:t>
      </w:r>
      <w:r w:rsidR="00E47D19">
        <w:rPr>
          <w:rFonts w:ascii="Times New Roman" w:hAnsi="Times New Roman" w:cs="Times New Roman"/>
          <w:sz w:val="24"/>
          <w:szCs w:val="24"/>
        </w:rPr>
        <w:t xml:space="preserve"> </w:t>
      </w:r>
    </w:p>
    <w:p w14:paraId="70BC5C5F" w14:textId="77777777" w:rsidR="003741E6" w:rsidRDefault="00D323ED" w:rsidP="00B84DF3">
      <w:pPr>
        <w:spacing w:line="240" w:lineRule="auto"/>
        <w:jc w:val="both"/>
        <w:rPr>
          <w:rFonts w:ascii="Times New Roman" w:hAnsi="Times New Roman" w:cs="Times New Roman"/>
          <w:sz w:val="24"/>
          <w:szCs w:val="24"/>
        </w:rPr>
      </w:pPr>
      <w:r>
        <w:rPr>
          <w:noProof/>
          <w:lang w:val="en-US" w:eastAsia="en-US"/>
        </w:rPr>
        <w:drawing>
          <wp:inline distT="0" distB="0" distL="0" distR="0" wp14:anchorId="28609CF0" wp14:editId="1D716ABF">
            <wp:extent cx="5026881" cy="2973787"/>
            <wp:effectExtent l="19050" t="0" r="21369"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309443" w14:textId="77777777" w:rsidR="003741E6" w:rsidRPr="008D13C3" w:rsidRDefault="003741E6" w:rsidP="0080552B">
      <w:pPr>
        <w:pStyle w:val="Caption"/>
        <w:jc w:val="center"/>
        <w:rPr>
          <w:rFonts w:ascii="Times New Roman" w:hAnsi="Times New Roman" w:cs="Times New Roman"/>
          <w:b w:val="0"/>
          <w:color w:val="auto"/>
          <w:sz w:val="24"/>
          <w:szCs w:val="24"/>
        </w:rPr>
      </w:pPr>
      <w:bookmarkStart w:id="10" w:name="_Toc321837709"/>
      <w:r w:rsidRPr="008D13C3">
        <w:rPr>
          <w:rFonts w:ascii="Times New Roman" w:hAnsi="Times New Roman" w:cs="Times New Roman"/>
          <w:color w:val="auto"/>
          <w:sz w:val="24"/>
          <w:szCs w:val="24"/>
        </w:rPr>
        <w:t xml:space="preserve">Figure </w:t>
      </w:r>
      <w:r w:rsidR="00AF1B59" w:rsidRPr="008D13C3">
        <w:rPr>
          <w:rFonts w:ascii="Times New Roman" w:hAnsi="Times New Roman" w:cs="Times New Roman"/>
          <w:color w:val="auto"/>
          <w:sz w:val="24"/>
          <w:szCs w:val="24"/>
        </w:rPr>
        <w:fldChar w:fldCharType="begin"/>
      </w:r>
      <w:r w:rsidRPr="008D13C3">
        <w:rPr>
          <w:rFonts w:ascii="Times New Roman" w:hAnsi="Times New Roman" w:cs="Times New Roman"/>
          <w:color w:val="auto"/>
          <w:sz w:val="24"/>
          <w:szCs w:val="24"/>
        </w:rPr>
        <w:instrText xml:space="preserve"> SEQ Figure_4- \* ARABIC </w:instrText>
      </w:r>
      <w:r w:rsidR="00AF1B59" w:rsidRPr="008D13C3">
        <w:rPr>
          <w:rFonts w:ascii="Times New Roman" w:hAnsi="Times New Roman" w:cs="Times New Roman"/>
          <w:color w:val="auto"/>
          <w:sz w:val="24"/>
          <w:szCs w:val="24"/>
        </w:rPr>
        <w:fldChar w:fldCharType="separate"/>
      </w:r>
      <w:r w:rsidR="00357FB2">
        <w:rPr>
          <w:rFonts w:ascii="Times New Roman" w:hAnsi="Times New Roman" w:cs="Times New Roman"/>
          <w:noProof/>
          <w:color w:val="auto"/>
          <w:sz w:val="24"/>
          <w:szCs w:val="24"/>
        </w:rPr>
        <w:t>5</w:t>
      </w:r>
      <w:r w:rsidR="00AF1B59" w:rsidRPr="008D13C3">
        <w:rPr>
          <w:rFonts w:ascii="Times New Roman" w:hAnsi="Times New Roman" w:cs="Times New Roman"/>
          <w:color w:val="auto"/>
          <w:sz w:val="24"/>
          <w:szCs w:val="24"/>
        </w:rPr>
        <w:fldChar w:fldCharType="end"/>
      </w:r>
      <w:r w:rsidRPr="008D13C3">
        <w:rPr>
          <w:rFonts w:ascii="Times New Roman" w:hAnsi="Times New Roman" w:cs="Times New Roman"/>
          <w:color w:val="auto"/>
          <w:sz w:val="24"/>
          <w:szCs w:val="24"/>
        </w:rPr>
        <w:t xml:space="preserve">: Variation in gas recovery (%) over 5 cycles during water desorption and </w:t>
      </w:r>
      <w:r w:rsidR="00D323ED">
        <w:rPr>
          <w:rFonts w:ascii="Times New Roman" w:hAnsi="Times New Roman" w:cs="Times New Roman"/>
          <w:color w:val="auto"/>
          <w:sz w:val="24"/>
          <w:szCs w:val="24"/>
        </w:rPr>
        <w:t xml:space="preserve">direct </w:t>
      </w:r>
      <w:r w:rsidRPr="008D13C3">
        <w:rPr>
          <w:rFonts w:ascii="Times New Roman" w:hAnsi="Times New Roman" w:cs="Times New Roman"/>
          <w:color w:val="auto"/>
          <w:sz w:val="24"/>
          <w:szCs w:val="24"/>
        </w:rPr>
        <w:t>microwave heating of CO</w:t>
      </w:r>
      <w:r w:rsidRPr="008D13C3">
        <w:rPr>
          <w:rFonts w:ascii="Times New Roman" w:hAnsi="Times New Roman" w:cs="Times New Roman"/>
          <w:color w:val="auto"/>
          <w:sz w:val="24"/>
          <w:szCs w:val="24"/>
          <w:vertAlign w:val="subscript"/>
        </w:rPr>
        <w:t>2</w:t>
      </w:r>
      <w:r w:rsidRPr="008D13C3">
        <w:rPr>
          <w:rFonts w:ascii="Times New Roman" w:hAnsi="Times New Roman" w:cs="Times New Roman"/>
          <w:color w:val="auto"/>
          <w:sz w:val="24"/>
          <w:szCs w:val="24"/>
        </w:rPr>
        <w:t>/CH</w:t>
      </w:r>
      <w:r w:rsidRPr="008D13C3">
        <w:rPr>
          <w:rFonts w:ascii="Times New Roman" w:hAnsi="Times New Roman" w:cs="Times New Roman"/>
          <w:color w:val="auto"/>
          <w:sz w:val="24"/>
          <w:szCs w:val="24"/>
          <w:vertAlign w:val="subscript"/>
        </w:rPr>
        <w:t>4</w:t>
      </w:r>
      <w:r w:rsidRPr="008D13C3">
        <w:rPr>
          <w:rFonts w:ascii="Times New Roman" w:hAnsi="Times New Roman" w:cs="Times New Roman"/>
          <w:color w:val="auto"/>
          <w:sz w:val="24"/>
          <w:szCs w:val="24"/>
        </w:rPr>
        <w:t xml:space="preserve"> on Na-ETS-10</w:t>
      </w:r>
      <w:r>
        <w:rPr>
          <w:rFonts w:ascii="Times New Roman" w:hAnsi="Times New Roman" w:cs="Times New Roman"/>
          <w:color w:val="auto"/>
          <w:sz w:val="24"/>
          <w:szCs w:val="24"/>
        </w:rPr>
        <w:t>.</w:t>
      </w:r>
      <w:bookmarkEnd w:id="10"/>
    </w:p>
    <w:p w14:paraId="33B4899C" w14:textId="77777777" w:rsidR="00D323ED" w:rsidRPr="00E47D19" w:rsidRDefault="00D323ED" w:rsidP="00D323ED">
      <w:pPr>
        <w:spacing w:line="240" w:lineRule="auto"/>
        <w:rPr>
          <w:rFonts w:ascii="Times New Roman" w:hAnsi="Times New Roman" w:cs="Times New Roman"/>
          <w:sz w:val="6"/>
          <w:szCs w:val="24"/>
        </w:rPr>
      </w:pPr>
    </w:p>
    <w:p w14:paraId="300FF326" w14:textId="77777777" w:rsidR="003741E6" w:rsidRDefault="00787D14" w:rsidP="00061EBD">
      <w:pPr>
        <w:spacing w:line="240" w:lineRule="auto"/>
        <w:rPr>
          <w:rFonts w:ascii="Times New Roman" w:hAnsi="Times New Roman" w:cs="Times New Roman"/>
          <w:sz w:val="24"/>
          <w:szCs w:val="24"/>
        </w:rPr>
      </w:pPr>
      <w:r>
        <w:rPr>
          <w:noProof/>
          <w:lang w:val="en-US" w:eastAsia="en-US"/>
        </w:rPr>
        <w:lastRenderedPageBreak/>
        <w:drawing>
          <wp:inline distT="0" distB="0" distL="0" distR="0" wp14:anchorId="2318E6C6" wp14:editId="0D59F50D">
            <wp:extent cx="5037826" cy="3648974"/>
            <wp:effectExtent l="0" t="0" r="10795" b="279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420D3" w:rsidDel="00D323ED">
        <w:rPr>
          <w:rFonts w:ascii="Times New Roman" w:hAnsi="Times New Roman" w:cs="Times New Roman"/>
          <w:noProof/>
          <w:sz w:val="24"/>
          <w:szCs w:val="24"/>
        </w:rPr>
        <w:t xml:space="preserve"> </w:t>
      </w:r>
    </w:p>
    <w:p w14:paraId="0062A1C6" w14:textId="0B164C3F" w:rsidR="003741E6" w:rsidRDefault="003741E6" w:rsidP="00E47D19">
      <w:pPr>
        <w:pStyle w:val="Caption"/>
        <w:jc w:val="center"/>
      </w:pPr>
      <w:bookmarkStart w:id="11" w:name="_Toc321837710"/>
      <w:r w:rsidRPr="008D13C3">
        <w:rPr>
          <w:rFonts w:ascii="Times New Roman" w:hAnsi="Times New Roman" w:cs="Times New Roman"/>
          <w:color w:val="auto"/>
          <w:sz w:val="24"/>
          <w:szCs w:val="24"/>
        </w:rPr>
        <w:t xml:space="preserve">Figure </w:t>
      </w:r>
      <w:r w:rsidR="00AF1B59" w:rsidRPr="008D13C3">
        <w:rPr>
          <w:rFonts w:ascii="Times New Roman" w:hAnsi="Times New Roman" w:cs="Times New Roman"/>
          <w:color w:val="auto"/>
          <w:sz w:val="24"/>
          <w:szCs w:val="24"/>
        </w:rPr>
        <w:fldChar w:fldCharType="begin"/>
      </w:r>
      <w:r w:rsidRPr="008D13C3">
        <w:rPr>
          <w:rFonts w:ascii="Times New Roman" w:hAnsi="Times New Roman" w:cs="Times New Roman"/>
          <w:color w:val="auto"/>
          <w:sz w:val="24"/>
          <w:szCs w:val="24"/>
        </w:rPr>
        <w:instrText xml:space="preserve"> SEQ Figure_4- \* ARABIC </w:instrText>
      </w:r>
      <w:r w:rsidR="00AF1B59" w:rsidRPr="008D13C3">
        <w:rPr>
          <w:rFonts w:ascii="Times New Roman" w:hAnsi="Times New Roman" w:cs="Times New Roman"/>
          <w:color w:val="auto"/>
          <w:sz w:val="24"/>
          <w:szCs w:val="24"/>
        </w:rPr>
        <w:fldChar w:fldCharType="separate"/>
      </w:r>
      <w:r w:rsidR="00357FB2">
        <w:rPr>
          <w:rFonts w:ascii="Times New Roman" w:hAnsi="Times New Roman" w:cs="Times New Roman"/>
          <w:noProof/>
          <w:color w:val="auto"/>
          <w:sz w:val="24"/>
          <w:szCs w:val="24"/>
        </w:rPr>
        <w:t>6</w:t>
      </w:r>
      <w:r w:rsidR="00AF1B59" w:rsidRPr="008D13C3">
        <w:rPr>
          <w:rFonts w:ascii="Times New Roman" w:hAnsi="Times New Roman" w:cs="Times New Roman"/>
          <w:color w:val="auto"/>
          <w:sz w:val="24"/>
          <w:szCs w:val="24"/>
        </w:rPr>
        <w:fldChar w:fldCharType="end"/>
      </w:r>
      <w:r w:rsidRPr="008D13C3">
        <w:rPr>
          <w:rFonts w:ascii="Times New Roman" w:hAnsi="Times New Roman" w:cs="Times New Roman"/>
          <w:color w:val="auto"/>
          <w:sz w:val="24"/>
          <w:szCs w:val="24"/>
        </w:rPr>
        <w:t xml:space="preserve">: Energy consumption </w:t>
      </w:r>
      <w:r w:rsidR="0029392F">
        <w:rPr>
          <w:rFonts w:ascii="Times New Roman" w:hAnsi="Times New Roman" w:cs="Times New Roman"/>
          <w:color w:val="auto"/>
          <w:sz w:val="24"/>
          <w:szCs w:val="24"/>
        </w:rPr>
        <w:t>normalised by number of mmoles desorbed or adsorbed</w:t>
      </w:r>
      <w:r w:rsidR="009867A7">
        <w:rPr>
          <w:rFonts w:ascii="Times New Roman" w:hAnsi="Times New Roman" w:cs="Times New Roman"/>
          <w:color w:val="auto"/>
          <w:sz w:val="24"/>
          <w:szCs w:val="24"/>
        </w:rPr>
        <w:t xml:space="preserve"> </w:t>
      </w:r>
      <w:r w:rsidR="0029392F">
        <w:rPr>
          <w:rFonts w:ascii="Times New Roman" w:hAnsi="Times New Roman" w:cs="Times New Roman"/>
          <w:color w:val="auto"/>
          <w:sz w:val="24"/>
          <w:szCs w:val="24"/>
        </w:rPr>
        <w:t xml:space="preserve">during </w:t>
      </w:r>
      <w:r w:rsidR="00DB1D5B">
        <w:rPr>
          <w:rFonts w:ascii="Times New Roman" w:hAnsi="Times New Roman" w:cs="Times New Roman"/>
          <w:color w:val="auto"/>
          <w:sz w:val="24"/>
          <w:szCs w:val="24"/>
        </w:rPr>
        <w:t>direct microwave regeneration</w:t>
      </w:r>
      <w:r w:rsidR="00DB1D5B" w:rsidRPr="008D13C3">
        <w:rPr>
          <w:rFonts w:ascii="Times New Roman" w:hAnsi="Times New Roman" w:cs="Times New Roman"/>
          <w:color w:val="auto"/>
          <w:sz w:val="24"/>
          <w:szCs w:val="24"/>
        </w:rPr>
        <w:t xml:space="preserve"> </w:t>
      </w:r>
      <w:r w:rsidRPr="008D13C3">
        <w:rPr>
          <w:rFonts w:ascii="Times New Roman" w:hAnsi="Times New Roman" w:cs="Times New Roman"/>
          <w:color w:val="auto"/>
          <w:sz w:val="24"/>
          <w:szCs w:val="24"/>
        </w:rPr>
        <w:t xml:space="preserve">was significantly lower than </w:t>
      </w:r>
      <w:r w:rsidR="00D323ED">
        <w:rPr>
          <w:rFonts w:ascii="Times New Roman" w:hAnsi="Times New Roman" w:cs="Times New Roman"/>
          <w:color w:val="auto"/>
          <w:sz w:val="24"/>
          <w:szCs w:val="24"/>
        </w:rPr>
        <w:t>in indirect microwave regeneration</w:t>
      </w:r>
      <w:r w:rsidR="00D323ED" w:rsidRPr="008D13C3">
        <w:rPr>
          <w:rFonts w:ascii="Times New Roman" w:hAnsi="Times New Roman" w:cs="Times New Roman"/>
          <w:color w:val="auto"/>
          <w:sz w:val="24"/>
          <w:szCs w:val="24"/>
        </w:rPr>
        <w:t xml:space="preserve"> </w:t>
      </w:r>
      <w:r w:rsidR="00D323ED">
        <w:rPr>
          <w:rFonts w:ascii="Times New Roman" w:hAnsi="Times New Roman" w:cs="Times New Roman"/>
          <w:color w:val="auto"/>
          <w:sz w:val="24"/>
          <w:szCs w:val="24"/>
        </w:rPr>
        <w:t>of</w:t>
      </w:r>
      <w:r w:rsidRPr="008D13C3">
        <w:rPr>
          <w:rFonts w:ascii="Times New Roman" w:hAnsi="Times New Roman" w:cs="Times New Roman"/>
          <w:color w:val="auto"/>
          <w:sz w:val="24"/>
          <w:szCs w:val="24"/>
        </w:rPr>
        <w:t xml:space="preserve"> Na-ETS-10</w:t>
      </w:r>
      <w:bookmarkEnd w:id="11"/>
      <w:r>
        <w:br w:type="page"/>
      </w:r>
    </w:p>
    <w:p w14:paraId="62E4DFB3" w14:textId="77777777" w:rsidR="003741E6" w:rsidRDefault="003741E6" w:rsidP="0080552B">
      <w:pPr>
        <w:pStyle w:val="Caption"/>
        <w:jc w:val="center"/>
        <w:rPr>
          <w:rFonts w:ascii="Times New Roman" w:hAnsi="Times New Roman" w:cs="Times New Roman"/>
          <w:color w:val="auto"/>
          <w:sz w:val="24"/>
          <w:szCs w:val="24"/>
        </w:rPr>
      </w:pPr>
      <w:bookmarkStart w:id="12" w:name="_Toc321904158"/>
      <w:r w:rsidRPr="00900D11">
        <w:rPr>
          <w:rFonts w:ascii="Times New Roman" w:hAnsi="Times New Roman" w:cs="Times New Roman"/>
          <w:color w:val="auto"/>
          <w:sz w:val="24"/>
          <w:szCs w:val="24"/>
        </w:rPr>
        <w:lastRenderedPageBreak/>
        <w:t xml:space="preserve">Table </w:t>
      </w:r>
      <w:r w:rsidR="00AF1B59" w:rsidRPr="00900D11">
        <w:rPr>
          <w:rFonts w:ascii="Times New Roman" w:hAnsi="Times New Roman" w:cs="Times New Roman"/>
          <w:color w:val="auto"/>
          <w:sz w:val="24"/>
          <w:szCs w:val="24"/>
        </w:rPr>
        <w:fldChar w:fldCharType="begin"/>
      </w:r>
      <w:r w:rsidRPr="00900D11">
        <w:rPr>
          <w:rFonts w:ascii="Times New Roman" w:hAnsi="Times New Roman" w:cs="Times New Roman"/>
          <w:color w:val="auto"/>
          <w:sz w:val="24"/>
          <w:szCs w:val="24"/>
        </w:rPr>
        <w:instrText xml:space="preserve"> SEQ Table_4- \* ARABIC </w:instrText>
      </w:r>
      <w:r w:rsidR="00AF1B59" w:rsidRPr="00900D11">
        <w:rPr>
          <w:rFonts w:ascii="Times New Roman" w:hAnsi="Times New Roman" w:cs="Times New Roman"/>
          <w:color w:val="auto"/>
          <w:sz w:val="24"/>
          <w:szCs w:val="24"/>
        </w:rPr>
        <w:fldChar w:fldCharType="separate"/>
      </w:r>
      <w:r w:rsidR="00357FB2">
        <w:rPr>
          <w:rFonts w:ascii="Times New Roman" w:hAnsi="Times New Roman" w:cs="Times New Roman"/>
          <w:noProof/>
          <w:color w:val="auto"/>
          <w:sz w:val="24"/>
          <w:szCs w:val="24"/>
        </w:rPr>
        <w:t>2</w:t>
      </w:r>
      <w:r w:rsidR="00AF1B59" w:rsidRPr="00900D11">
        <w:rPr>
          <w:rFonts w:ascii="Times New Roman" w:hAnsi="Times New Roman" w:cs="Times New Roman"/>
          <w:color w:val="auto"/>
          <w:sz w:val="24"/>
          <w:szCs w:val="24"/>
        </w:rPr>
        <w:fldChar w:fldCharType="end"/>
      </w:r>
      <w:r w:rsidRPr="00900D11">
        <w:rPr>
          <w:rFonts w:ascii="Times New Roman" w:hAnsi="Times New Roman" w:cs="Times New Roman"/>
          <w:color w:val="auto"/>
          <w:sz w:val="24"/>
          <w:szCs w:val="24"/>
        </w:rPr>
        <w:t xml:space="preserve">: Comparison of </w:t>
      </w:r>
      <w:r w:rsidR="00DB1D5B">
        <w:rPr>
          <w:rFonts w:ascii="Times New Roman" w:hAnsi="Times New Roman" w:cs="Times New Roman"/>
          <w:color w:val="auto"/>
          <w:sz w:val="24"/>
          <w:szCs w:val="24"/>
        </w:rPr>
        <w:t xml:space="preserve">indirect and direct </w:t>
      </w:r>
      <w:r w:rsidRPr="00900D11">
        <w:rPr>
          <w:rFonts w:ascii="Times New Roman" w:hAnsi="Times New Roman" w:cs="Times New Roman"/>
          <w:color w:val="auto"/>
          <w:sz w:val="24"/>
          <w:szCs w:val="24"/>
        </w:rPr>
        <w:t xml:space="preserve">microwave </w:t>
      </w:r>
      <w:r w:rsidR="00DB1D5B">
        <w:rPr>
          <w:rFonts w:ascii="Times New Roman" w:hAnsi="Times New Roman" w:cs="Times New Roman"/>
          <w:color w:val="auto"/>
          <w:sz w:val="24"/>
          <w:szCs w:val="24"/>
        </w:rPr>
        <w:t>regeneration</w:t>
      </w:r>
      <w:r w:rsidR="00DB1D5B" w:rsidRPr="008D13C3">
        <w:rPr>
          <w:rFonts w:ascii="Times New Roman" w:hAnsi="Times New Roman" w:cs="Times New Roman"/>
          <w:color w:val="auto"/>
          <w:sz w:val="24"/>
          <w:szCs w:val="24"/>
        </w:rPr>
        <w:t xml:space="preserve"> </w:t>
      </w:r>
      <w:r w:rsidRPr="00900D11">
        <w:rPr>
          <w:rFonts w:ascii="Times New Roman" w:hAnsi="Times New Roman" w:cs="Times New Roman"/>
          <w:color w:val="auto"/>
          <w:sz w:val="24"/>
          <w:szCs w:val="24"/>
        </w:rPr>
        <w:t>for desorbing CO</w:t>
      </w:r>
      <w:r w:rsidRPr="008D13C3">
        <w:rPr>
          <w:rFonts w:ascii="Times New Roman" w:hAnsi="Times New Roman" w:cs="Times New Roman"/>
          <w:color w:val="auto"/>
          <w:sz w:val="24"/>
          <w:szCs w:val="24"/>
          <w:vertAlign w:val="subscript"/>
        </w:rPr>
        <w:t>2</w:t>
      </w:r>
      <w:r w:rsidRPr="00900D11">
        <w:rPr>
          <w:rFonts w:ascii="Times New Roman" w:hAnsi="Times New Roman" w:cs="Times New Roman"/>
          <w:color w:val="auto"/>
          <w:sz w:val="24"/>
          <w:szCs w:val="24"/>
        </w:rPr>
        <w:t>/CH</w:t>
      </w:r>
      <w:r w:rsidRPr="008D13C3">
        <w:rPr>
          <w:rFonts w:ascii="Times New Roman" w:hAnsi="Times New Roman" w:cs="Times New Roman"/>
          <w:color w:val="auto"/>
          <w:sz w:val="24"/>
          <w:szCs w:val="24"/>
          <w:vertAlign w:val="subscript"/>
        </w:rPr>
        <w:t>4</w:t>
      </w:r>
      <w:r w:rsidRPr="00900D11">
        <w:rPr>
          <w:rFonts w:ascii="Times New Roman" w:hAnsi="Times New Roman" w:cs="Times New Roman"/>
          <w:color w:val="auto"/>
          <w:sz w:val="24"/>
          <w:szCs w:val="24"/>
        </w:rPr>
        <w:t xml:space="preserve"> from Na-ETS-10 over five cycles.</w:t>
      </w:r>
      <w:bookmarkEnd w:id="12"/>
    </w:p>
    <w:tbl>
      <w:tblPr>
        <w:tblStyle w:val="Style1"/>
        <w:tblW w:w="9576" w:type="dxa"/>
        <w:tblLook w:val="04A0" w:firstRow="1" w:lastRow="0" w:firstColumn="1" w:lastColumn="0" w:noHBand="0" w:noVBand="1"/>
      </w:tblPr>
      <w:tblGrid>
        <w:gridCol w:w="3510"/>
        <w:gridCol w:w="756"/>
        <w:gridCol w:w="756"/>
        <w:gridCol w:w="756"/>
        <w:gridCol w:w="876"/>
        <w:gridCol w:w="756"/>
        <w:gridCol w:w="2166"/>
      </w:tblGrid>
      <w:tr w:rsidR="005569C1" w:rsidRPr="00DD53CE" w14:paraId="4B4E9250" w14:textId="77777777" w:rsidTr="000A6772">
        <w:trPr>
          <w:cnfStyle w:val="100000000000" w:firstRow="1" w:lastRow="0" w:firstColumn="0" w:lastColumn="0" w:oddVBand="0" w:evenVBand="0" w:oddHBand="0" w:evenHBand="0" w:firstRowFirstColumn="0" w:firstRowLastColumn="0" w:lastRowFirstColumn="0" w:lastRowLastColumn="0"/>
          <w:trHeight w:val="297"/>
        </w:trPr>
        <w:tc>
          <w:tcPr>
            <w:tcW w:w="3510" w:type="dxa"/>
            <w:vMerge w:val="restart"/>
            <w:noWrap/>
            <w:hideMark/>
          </w:tcPr>
          <w:p w14:paraId="0166CDC5" w14:textId="77777777" w:rsidR="005569C1" w:rsidRPr="00DD53CE" w:rsidRDefault="005569C1" w:rsidP="00DB1D5B">
            <w:pPr>
              <w:spacing w:before="120" w:after="120"/>
              <w:jc w:val="center"/>
              <w:rPr>
                <w:rFonts w:eastAsia="Times New Roman" w:cs="Times New Roman"/>
                <w:color w:val="000000"/>
                <w:szCs w:val="24"/>
              </w:rPr>
            </w:pPr>
            <w:r>
              <w:rPr>
                <w:rFonts w:eastAsia="Times New Roman" w:cs="Times New Roman"/>
                <w:color w:val="000000"/>
                <w:szCs w:val="24"/>
              </w:rPr>
              <w:t xml:space="preserve">Indirect microwave </w:t>
            </w:r>
            <w:r>
              <w:rPr>
                <w:rFonts w:cs="Times New Roman"/>
                <w:szCs w:val="24"/>
              </w:rPr>
              <w:t>regeneration</w:t>
            </w:r>
            <w:r w:rsidRPr="008D13C3">
              <w:rPr>
                <w:rFonts w:cs="Times New Roman"/>
                <w:szCs w:val="24"/>
              </w:rPr>
              <w:t xml:space="preserve"> </w:t>
            </w:r>
            <w:r w:rsidR="00200281">
              <w:rPr>
                <w:rFonts w:cs="Times New Roman"/>
                <w:szCs w:val="24"/>
              </w:rPr>
              <w:t>(water desorption-microwave drying)</w:t>
            </w:r>
          </w:p>
        </w:tc>
        <w:tc>
          <w:tcPr>
            <w:tcW w:w="3900" w:type="dxa"/>
            <w:gridSpan w:val="5"/>
            <w:noWrap/>
            <w:hideMark/>
          </w:tcPr>
          <w:p w14:paraId="5FF0A41B" w14:textId="77777777" w:rsidR="005569C1" w:rsidRPr="00DD53CE" w:rsidRDefault="005569C1" w:rsidP="00961614">
            <w:pPr>
              <w:spacing w:before="120" w:after="120"/>
              <w:jc w:val="center"/>
              <w:rPr>
                <w:rFonts w:eastAsia="Times New Roman" w:cs="Times New Roman"/>
                <w:color w:val="000000"/>
                <w:szCs w:val="24"/>
              </w:rPr>
            </w:pPr>
            <w:r w:rsidRPr="00961614">
              <w:rPr>
                <w:rFonts w:eastAsia="Times New Roman" w:cs="Times New Roman"/>
                <w:b w:val="0"/>
                <w:color w:val="000000"/>
                <w:szCs w:val="24"/>
              </w:rPr>
              <w:t>Cycles</w:t>
            </w:r>
          </w:p>
        </w:tc>
        <w:tc>
          <w:tcPr>
            <w:tcW w:w="2166" w:type="dxa"/>
            <w:vMerge w:val="restart"/>
          </w:tcPr>
          <w:p w14:paraId="2DD479BA" w14:textId="77777777" w:rsidR="005569C1" w:rsidRPr="00961614" w:rsidRDefault="005569C1" w:rsidP="00961614">
            <w:pPr>
              <w:spacing w:before="120" w:after="120"/>
              <w:jc w:val="center"/>
              <w:rPr>
                <w:rFonts w:eastAsia="Times New Roman" w:cs="Times New Roman"/>
                <w:color w:val="000000"/>
                <w:szCs w:val="24"/>
              </w:rPr>
            </w:pPr>
            <w:r>
              <w:rPr>
                <w:rFonts w:eastAsia="Times New Roman" w:cs="Times New Roman"/>
                <w:color w:val="000000"/>
                <w:szCs w:val="24"/>
              </w:rPr>
              <w:t>Average and standard deviation over 5 cycles</w:t>
            </w:r>
          </w:p>
        </w:tc>
      </w:tr>
      <w:tr w:rsidR="005569C1" w:rsidRPr="00DD53CE" w14:paraId="571B6E59" w14:textId="77777777" w:rsidTr="000A6772">
        <w:trPr>
          <w:trHeight w:val="420"/>
        </w:trPr>
        <w:tc>
          <w:tcPr>
            <w:tcW w:w="3510" w:type="dxa"/>
            <w:vMerge/>
            <w:hideMark/>
          </w:tcPr>
          <w:p w14:paraId="204FD451" w14:textId="77777777" w:rsidR="005569C1" w:rsidRPr="00DD53CE" w:rsidRDefault="005569C1" w:rsidP="00B84DF3">
            <w:pPr>
              <w:rPr>
                <w:rFonts w:eastAsia="Times New Roman" w:cs="Times New Roman"/>
                <w:color w:val="000000"/>
                <w:szCs w:val="24"/>
              </w:rPr>
            </w:pPr>
          </w:p>
        </w:tc>
        <w:tc>
          <w:tcPr>
            <w:tcW w:w="756" w:type="dxa"/>
            <w:noWrap/>
            <w:hideMark/>
          </w:tcPr>
          <w:p w14:paraId="3190E551"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1</w:t>
            </w:r>
          </w:p>
        </w:tc>
        <w:tc>
          <w:tcPr>
            <w:tcW w:w="756" w:type="dxa"/>
            <w:noWrap/>
            <w:hideMark/>
          </w:tcPr>
          <w:p w14:paraId="1EBA2F9E"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w:t>
            </w:r>
          </w:p>
        </w:tc>
        <w:tc>
          <w:tcPr>
            <w:tcW w:w="756" w:type="dxa"/>
            <w:noWrap/>
            <w:hideMark/>
          </w:tcPr>
          <w:p w14:paraId="67C1760C"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3</w:t>
            </w:r>
          </w:p>
        </w:tc>
        <w:tc>
          <w:tcPr>
            <w:tcW w:w="876" w:type="dxa"/>
            <w:noWrap/>
            <w:hideMark/>
          </w:tcPr>
          <w:p w14:paraId="03DA864D"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4</w:t>
            </w:r>
          </w:p>
        </w:tc>
        <w:tc>
          <w:tcPr>
            <w:tcW w:w="756" w:type="dxa"/>
            <w:noWrap/>
            <w:hideMark/>
          </w:tcPr>
          <w:p w14:paraId="715EE693"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5</w:t>
            </w:r>
          </w:p>
        </w:tc>
        <w:tc>
          <w:tcPr>
            <w:tcW w:w="2166" w:type="dxa"/>
            <w:vMerge/>
          </w:tcPr>
          <w:p w14:paraId="60C094DB" w14:textId="77777777" w:rsidR="005569C1" w:rsidRPr="00DD53CE" w:rsidRDefault="005569C1" w:rsidP="00B84DF3">
            <w:pPr>
              <w:jc w:val="right"/>
              <w:rPr>
                <w:rFonts w:eastAsia="Times New Roman" w:cs="Times New Roman"/>
                <w:color w:val="000000"/>
                <w:szCs w:val="24"/>
              </w:rPr>
            </w:pPr>
          </w:p>
        </w:tc>
      </w:tr>
      <w:tr w:rsidR="005569C1" w:rsidRPr="00DD53CE" w14:paraId="1BAB5268" w14:textId="77777777" w:rsidTr="000A6772">
        <w:trPr>
          <w:trHeight w:val="297"/>
        </w:trPr>
        <w:tc>
          <w:tcPr>
            <w:tcW w:w="3510" w:type="dxa"/>
            <w:noWrap/>
            <w:hideMark/>
          </w:tcPr>
          <w:p w14:paraId="52652F89"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Swing capacity (mmol/g)</w:t>
            </w:r>
          </w:p>
        </w:tc>
        <w:tc>
          <w:tcPr>
            <w:tcW w:w="756" w:type="dxa"/>
            <w:noWrap/>
            <w:hideMark/>
          </w:tcPr>
          <w:p w14:paraId="0EDD877E"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1.58</w:t>
            </w:r>
          </w:p>
        </w:tc>
        <w:tc>
          <w:tcPr>
            <w:tcW w:w="756" w:type="dxa"/>
            <w:noWrap/>
            <w:hideMark/>
          </w:tcPr>
          <w:p w14:paraId="63A3B5C0"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0.29</w:t>
            </w:r>
          </w:p>
        </w:tc>
        <w:tc>
          <w:tcPr>
            <w:tcW w:w="756" w:type="dxa"/>
            <w:noWrap/>
            <w:hideMark/>
          </w:tcPr>
          <w:p w14:paraId="1A8083CF"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0.33</w:t>
            </w:r>
          </w:p>
        </w:tc>
        <w:tc>
          <w:tcPr>
            <w:tcW w:w="876" w:type="dxa"/>
            <w:noWrap/>
            <w:hideMark/>
          </w:tcPr>
          <w:p w14:paraId="4F4D55BE"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0.28</w:t>
            </w:r>
          </w:p>
        </w:tc>
        <w:tc>
          <w:tcPr>
            <w:tcW w:w="756" w:type="dxa"/>
            <w:noWrap/>
            <w:hideMark/>
          </w:tcPr>
          <w:p w14:paraId="64DF470B"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0.32</w:t>
            </w:r>
          </w:p>
        </w:tc>
        <w:tc>
          <w:tcPr>
            <w:tcW w:w="2166" w:type="dxa"/>
          </w:tcPr>
          <w:p w14:paraId="64B555D9" w14:textId="77777777" w:rsidR="005569C1" w:rsidRPr="00DD53CE" w:rsidRDefault="005569C1" w:rsidP="000A6772">
            <w:pPr>
              <w:ind w:right="429"/>
              <w:jc w:val="right"/>
              <w:rPr>
                <w:rFonts w:asciiTheme="minorHAnsi" w:eastAsia="Times New Roman" w:hAnsiTheme="minorHAnsi" w:cs="Times New Roman"/>
                <w:color w:val="000000"/>
                <w:sz w:val="22"/>
                <w:szCs w:val="24"/>
              </w:rPr>
            </w:pPr>
            <w:r>
              <w:rPr>
                <w:rFonts w:eastAsia="Times New Roman" w:cs="Times New Roman"/>
                <w:color w:val="000000"/>
                <w:szCs w:val="24"/>
              </w:rPr>
              <w:t>0.56 ±0.57</w:t>
            </w:r>
          </w:p>
        </w:tc>
      </w:tr>
      <w:tr w:rsidR="005569C1" w:rsidRPr="00DD53CE" w14:paraId="1ABA218E" w14:textId="77777777" w:rsidTr="000A6772">
        <w:trPr>
          <w:trHeight w:val="297"/>
        </w:trPr>
        <w:tc>
          <w:tcPr>
            <w:tcW w:w="3510" w:type="dxa"/>
            <w:noWrap/>
            <w:hideMark/>
          </w:tcPr>
          <w:p w14:paraId="16851AD4"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Gas recovery (%)</w:t>
            </w:r>
          </w:p>
        </w:tc>
        <w:tc>
          <w:tcPr>
            <w:tcW w:w="756" w:type="dxa"/>
            <w:noWrap/>
            <w:hideMark/>
          </w:tcPr>
          <w:p w14:paraId="0B62EF97"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100</w:t>
            </w:r>
          </w:p>
        </w:tc>
        <w:tc>
          <w:tcPr>
            <w:tcW w:w="756" w:type="dxa"/>
            <w:noWrap/>
            <w:hideMark/>
          </w:tcPr>
          <w:p w14:paraId="6D8E2CA6" w14:textId="77777777" w:rsidR="005569C1" w:rsidRPr="00DD53CE" w:rsidRDefault="005569C1" w:rsidP="00787D14">
            <w:pPr>
              <w:jc w:val="right"/>
              <w:rPr>
                <w:rFonts w:eastAsia="Times New Roman" w:cs="Times New Roman"/>
                <w:color w:val="000000"/>
                <w:szCs w:val="24"/>
              </w:rPr>
            </w:pPr>
            <w:r w:rsidRPr="00DD53CE">
              <w:rPr>
                <w:rFonts w:eastAsia="Times New Roman" w:cs="Times New Roman"/>
                <w:color w:val="000000"/>
                <w:szCs w:val="24"/>
              </w:rPr>
              <w:t>18</w:t>
            </w:r>
          </w:p>
        </w:tc>
        <w:tc>
          <w:tcPr>
            <w:tcW w:w="756" w:type="dxa"/>
            <w:noWrap/>
            <w:hideMark/>
          </w:tcPr>
          <w:p w14:paraId="0253D05F"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21</w:t>
            </w:r>
          </w:p>
        </w:tc>
        <w:tc>
          <w:tcPr>
            <w:tcW w:w="876" w:type="dxa"/>
            <w:noWrap/>
            <w:hideMark/>
          </w:tcPr>
          <w:p w14:paraId="646D8DEC" w14:textId="77777777" w:rsidR="005569C1" w:rsidRPr="00DD53CE" w:rsidRDefault="005569C1" w:rsidP="00B84DF3">
            <w:pPr>
              <w:jc w:val="right"/>
              <w:rPr>
                <w:rFonts w:eastAsia="Times New Roman" w:cs="Times New Roman"/>
                <w:color w:val="000000"/>
                <w:szCs w:val="24"/>
              </w:rPr>
            </w:pPr>
            <w:r>
              <w:rPr>
                <w:rFonts w:eastAsia="Times New Roman" w:cs="Times New Roman"/>
                <w:color w:val="000000"/>
                <w:szCs w:val="24"/>
              </w:rPr>
              <w:t>18</w:t>
            </w:r>
          </w:p>
        </w:tc>
        <w:tc>
          <w:tcPr>
            <w:tcW w:w="756" w:type="dxa"/>
            <w:noWrap/>
            <w:hideMark/>
          </w:tcPr>
          <w:p w14:paraId="59EA8687"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20</w:t>
            </w:r>
          </w:p>
        </w:tc>
        <w:tc>
          <w:tcPr>
            <w:tcW w:w="2166" w:type="dxa"/>
          </w:tcPr>
          <w:p w14:paraId="1537DA30" w14:textId="77777777" w:rsidR="005569C1" w:rsidRPr="00DD53CE" w:rsidRDefault="005569C1" w:rsidP="000A6772">
            <w:pPr>
              <w:ind w:right="429"/>
              <w:jc w:val="right"/>
              <w:rPr>
                <w:rFonts w:asciiTheme="minorHAnsi" w:eastAsia="Times New Roman" w:hAnsiTheme="minorHAnsi" w:cs="Times New Roman"/>
                <w:color w:val="000000"/>
                <w:sz w:val="22"/>
                <w:szCs w:val="24"/>
              </w:rPr>
            </w:pPr>
            <w:r>
              <w:rPr>
                <w:rFonts w:eastAsia="Times New Roman" w:cs="Times New Roman"/>
                <w:color w:val="000000"/>
                <w:szCs w:val="24"/>
              </w:rPr>
              <w:t>35±36</w:t>
            </w:r>
          </w:p>
        </w:tc>
      </w:tr>
      <w:tr w:rsidR="005569C1" w:rsidRPr="00DD53CE" w14:paraId="6048F831" w14:textId="77777777" w:rsidTr="000A6772">
        <w:trPr>
          <w:trHeight w:val="297"/>
        </w:trPr>
        <w:tc>
          <w:tcPr>
            <w:tcW w:w="3510" w:type="dxa"/>
            <w:noWrap/>
            <w:hideMark/>
          </w:tcPr>
          <w:p w14:paraId="71A60E50"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Energy consumed per gram adsorbent regenerated (J/g)</w:t>
            </w:r>
          </w:p>
        </w:tc>
        <w:tc>
          <w:tcPr>
            <w:tcW w:w="756" w:type="dxa"/>
            <w:noWrap/>
            <w:hideMark/>
          </w:tcPr>
          <w:p w14:paraId="0A800914"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w:t>
            </w:r>
            <w:r>
              <w:rPr>
                <w:rFonts w:eastAsia="Times New Roman" w:cs="Times New Roman"/>
                <w:color w:val="000000"/>
                <w:szCs w:val="24"/>
              </w:rPr>
              <w:t>,</w:t>
            </w:r>
            <w:r w:rsidRPr="00DD53CE">
              <w:rPr>
                <w:rFonts w:eastAsia="Times New Roman" w:cs="Times New Roman"/>
                <w:color w:val="000000"/>
                <w:szCs w:val="24"/>
              </w:rPr>
              <w:t>29</w:t>
            </w:r>
            <w:r>
              <w:rPr>
                <w:rFonts w:eastAsia="Times New Roman" w:cs="Times New Roman"/>
                <w:color w:val="000000"/>
                <w:szCs w:val="24"/>
              </w:rPr>
              <w:t>4</w:t>
            </w:r>
          </w:p>
        </w:tc>
        <w:tc>
          <w:tcPr>
            <w:tcW w:w="756" w:type="dxa"/>
            <w:noWrap/>
            <w:hideMark/>
          </w:tcPr>
          <w:p w14:paraId="6CE8FB09"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w:t>
            </w:r>
            <w:r>
              <w:rPr>
                <w:rFonts w:eastAsia="Times New Roman" w:cs="Times New Roman"/>
                <w:color w:val="000000"/>
                <w:szCs w:val="24"/>
              </w:rPr>
              <w:t>,</w:t>
            </w:r>
            <w:r w:rsidRPr="00DD53CE">
              <w:rPr>
                <w:rFonts w:eastAsia="Times New Roman" w:cs="Times New Roman"/>
                <w:color w:val="000000"/>
                <w:szCs w:val="24"/>
              </w:rPr>
              <w:t>56</w:t>
            </w:r>
            <w:r>
              <w:rPr>
                <w:rFonts w:eastAsia="Times New Roman" w:cs="Times New Roman"/>
                <w:color w:val="000000"/>
                <w:szCs w:val="24"/>
              </w:rPr>
              <w:t>5</w:t>
            </w:r>
          </w:p>
        </w:tc>
        <w:tc>
          <w:tcPr>
            <w:tcW w:w="756" w:type="dxa"/>
            <w:noWrap/>
            <w:hideMark/>
          </w:tcPr>
          <w:p w14:paraId="40F38001"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w:t>
            </w:r>
            <w:r>
              <w:rPr>
                <w:rFonts w:eastAsia="Times New Roman" w:cs="Times New Roman"/>
                <w:color w:val="000000"/>
                <w:szCs w:val="24"/>
              </w:rPr>
              <w:t>,</w:t>
            </w:r>
            <w:r w:rsidRPr="00DD53CE">
              <w:rPr>
                <w:rFonts w:eastAsia="Times New Roman" w:cs="Times New Roman"/>
                <w:color w:val="000000"/>
                <w:szCs w:val="24"/>
              </w:rPr>
              <w:t>55</w:t>
            </w:r>
            <w:r>
              <w:rPr>
                <w:rFonts w:eastAsia="Times New Roman" w:cs="Times New Roman"/>
                <w:color w:val="000000"/>
                <w:szCs w:val="24"/>
              </w:rPr>
              <w:t>0</w:t>
            </w:r>
          </w:p>
        </w:tc>
        <w:tc>
          <w:tcPr>
            <w:tcW w:w="876" w:type="dxa"/>
            <w:noWrap/>
            <w:hideMark/>
          </w:tcPr>
          <w:p w14:paraId="58828A64"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w:t>
            </w:r>
            <w:r>
              <w:rPr>
                <w:rFonts w:eastAsia="Times New Roman" w:cs="Times New Roman"/>
                <w:color w:val="000000"/>
                <w:szCs w:val="24"/>
              </w:rPr>
              <w:t>,</w:t>
            </w:r>
            <w:r w:rsidRPr="00DD53CE">
              <w:rPr>
                <w:rFonts w:eastAsia="Times New Roman" w:cs="Times New Roman"/>
                <w:color w:val="000000"/>
                <w:szCs w:val="24"/>
              </w:rPr>
              <w:t>49</w:t>
            </w:r>
            <w:r>
              <w:rPr>
                <w:rFonts w:eastAsia="Times New Roman" w:cs="Times New Roman"/>
                <w:color w:val="000000"/>
                <w:szCs w:val="24"/>
              </w:rPr>
              <w:t>4</w:t>
            </w:r>
          </w:p>
        </w:tc>
        <w:tc>
          <w:tcPr>
            <w:tcW w:w="756" w:type="dxa"/>
            <w:noWrap/>
            <w:hideMark/>
          </w:tcPr>
          <w:p w14:paraId="23040AFA"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2</w:t>
            </w:r>
            <w:r>
              <w:rPr>
                <w:rFonts w:eastAsia="Times New Roman" w:cs="Times New Roman"/>
                <w:color w:val="000000"/>
                <w:szCs w:val="24"/>
              </w:rPr>
              <w:t>,</w:t>
            </w:r>
            <w:r w:rsidRPr="00DD53CE">
              <w:rPr>
                <w:rFonts w:eastAsia="Times New Roman" w:cs="Times New Roman"/>
                <w:color w:val="000000"/>
                <w:szCs w:val="24"/>
              </w:rPr>
              <w:t>42</w:t>
            </w:r>
            <w:r>
              <w:rPr>
                <w:rFonts w:eastAsia="Times New Roman" w:cs="Times New Roman"/>
                <w:color w:val="000000"/>
                <w:szCs w:val="24"/>
              </w:rPr>
              <w:t>0</w:t>
            </w:r>
          </w:p>
        </w:tc>
        <w:tc>
          <w:tcPr>
            <w:tcW w:w="2166" w:type="dxa"/>
          </w:tcPr>
          <w:p w14:paraId="6D25DAD4" w14:textId="77777777" w:rsidR="005569C1" w:rsidRPr="000A6772" w:rsidRDefault="005569C1" w:rsidP="000A6772">
            <w:pPr>
              <w:ind w:right="429"/>
              <w:jc w:val="right"/>
              <w:rPr>
                <w:rFonts w:eastAsia="Times New Roman" w:cs="Times New Roman"/>
                <w:color w:val="000000"/>
                <w:szCs w:val="24"/>
              </w:rPr>
            </w:pPr>
            <w:r w:rsidRPr="000A6772">
              <w:rPr>
                <w:rFonts w:asciiTheme="minorHAnsi" w:eastAsia="Times New Roman" w:hAnsiTheme="minorHAnsi" w:cs="Times New Roman"/>
                <w:color w:val="000000"/>
                <w:szCs w:val="24"/>
              </w:rPr>
              <w:t>2,465</w:t>
            </w:r>
            <w:r>
              <w:rPr>
                <w:rFonts w:eastAsia="Times New Roman" w:cs="Times New Roman"/>
                <w:color w:val="000000"/>
                <w:szCs w:val="24"/>
              </w:rPr>
              <w:t>±111</w:t>
            </w:r>
          </w:p>
        </w:tc>
      </w:tr>
      <w:tr w:rsidR="005569C1" w:rsidRPr="00DD53CE" w14:paraId="0A560163" w14:textId="77777777" w:rsidTr="000A6772">
        <w:trPr>
          <w:trHeight w:val="297"/>
        </w:trPr>
        <w:tc>
          <w:tcPr>
            <w:tcW w:w="3510" w:type="dxa"/>
            <w:tcBorders>
              <w:bottom w:val="single" w:sz="4" w:space="0" w:color="auto"/>
            </w:tcBorders>
            <w:noWrap/>
            <w:hideMark/>
          </w:tcPr>
          <w:p w14:paraId="6A664F55"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Energy consumed per mol</w:t>
            </w:r>
            <w:r w:rsidR="00DE455B">
              <w:rPr>
                <w:rFonts w:eastAsia="Times New Roman" w:cs="Times New Roman"/>
                <w:color w:val="000000"/>
                <w:szCs w:val="24"/>
              </w:rPr>
              <w:t>e</w:t>
            </w:r>
            <w:r w:rsidRPr="00DD53CE">
              <w:rPr>
                <w:rFonts w:eastAsia="Times New Roman" w:cs="Times New Roman"/>
                <w:color w:val="000000"/>
                <w:szCs w:val="24"/>
              </w:rPr>
              <w:t xml:space="preserve"> gas desorbed (J/mmol)</w:t>
            </w:r>
          </w:p>
        </w:tc>
        <w:tc>
          <w:tcPr>
            <w:tcW w:w="756" w:type="dxa"/>
            <w:tcBorders>
              <w:bottom w:val="single" w:sz="4" w:space="0" w:color="auto"/>
            </w:tcBorders>
            <w:noWrap/>
            <w:hideMark/>
          </w:tcPr>
          <w:p w14:paraId="71FE606B"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1</w:t>
            </w:r>
            <w:r>
              <w:rPr>
                <w:rFonts w:eastAsia="Times New Roman" w:cs="Times New Roman"/>
                <w:color w:val="000000"/>
                <w:szCs w:val="24"/>
              </w:rPr>
              <w:t>,</w:t>
            </w:r>
            <w:r w:rsidRPr="00DD53CE">
              <w:rPr>
                <w:rFonts w:eastAsia="Times New Roman" w:cs="Times New Roman"/>
                <w:color w:val="000000"/>
                <w:szCs w:val="24"/>
              </w:rPr>
              <w:t>45</w:t>
            </w:r>
            <w:r>
              <w:rPr>
                <w:rFonts w:eastAsia="Times New Roman" w:cs="Times New Roman"/>
                <w:color w:val="000000"/>
                <w:szCs w:val="24"/>
              </w:rPr>
              <w:t>3</w:t>
            </w:r>
          </w:p>
        </w:tc>
        <w:tc>
          <w:tcPr>
            <w:tcW w:w="756" w:type="dxa"/>
            <w:tcBorders>
              <w:bottom w:val="single" w:sz="4" w:space="0" w:color="auto"/>
            </w:tcBorders>
            <w:noWrap/>
            <w:hideMark/>
          </w:tcPr>
          <w:p w14:paraId="46C5E254"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8</w:t>
            </w:r>
            <w:r>
              <w:rPr>
                <w:rFonts w:eastAsia="Times New Roman" w:cs="Times New Roman"/>
                <w:color w:val="000000"/>
                <w:szCs w:val="24"/>
              </w:rPr>
              <w:t>,</w:t>
            </w:r>
            <w:r w:rsidRPr="00DD53CE">
              <w:rPr>
                <w:rFonts w:eastAsia="Times New Roman" w:cs="Times New Roman"/>
                <w:color w:val="000000"/>
                <w:szCs w:val="24"/>
              </w:rPr>
              <w:t>9</w:t>
            </w:r>
            <w:r>
              <w:rPr>
                <w:rFonts w:eastAsia="Times New Roman" w:cs="Times New Roman"/>
                <w:color w:val="000000"/>
                <w:szCs w:val="24"/>
              </w:rPr>
              <w:t>03</w:t>
            </w:r>
          </w:p>
        </w:tc>
        <w:tc>
          <w:tcPr>
            <w:tcW w:w="756" w:type="dxa"/>
            <w:tcBorders>
              <w:bottom w:val="single" w:sz="4" w:space="0" w:color="auto"/>
            </w:tcBorders>
            <w:noWrap/>
            <w:hideMark/>
          </w:tcPr>
          <w:p w14:paraId="30889B4A"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7</w:t>
            </w:r>
            <w:r>
              <w:rPr>
                <w:rFonts w:eastAsia="Times New Roman" w:cs="Times New Roman"/>
                <w:color w:val="000000"/>
                <w:szCs w:val="24"/>
              </w:rPr>
              <w:t>,</w:t>
            </w:r>
            <w:r w:rsidRPr="00DD53CE">
              <w:rPr>
                <w:rFonts w:eastAsia="Times New Roman" w:cs="Times New Roman"/>
                <w:color w:val="000000"/>
                <w:szCs w:val="24"/>
              </w:rPr>
              <w:t>69</w:t>
            </w:r>
            <w:r>
              <w:rPr>
                <w:rFonts w:eastAsia="Times New Roman" w:cs="Times New Roman"/>
                <w:color w:val="000000"/>
                <w:szCs w:val="24"/>
              </w:rPr>
              <w:t>1</w:t>
            </w:r>
          </w:p>
        </w:tc>
        <w:tc>
          <w:tcPr>
            <w:tcW w:w="876" w:type="dxa"/>
            <w:tcBorders>
              <w:bottom w:val="single" w:sz="4" w:space="0" w:color="auto"/>
            </w:tcBorders>
            <w:noWrap/>
            <w:hideMark/>
          </w:tcPr>
          <w:p w14:paraId="03BA3982"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9</w:t>
            </w:r>
            <w:r>
              <w:rPr>
                <w:rFonts w:eastAsia="Times New Roman" w:cs="Times New Roman"/>
                <w:color w:val="000000"/>
                <w:szCs w:val="24"/>
              </w:rPr>
              <w:t>,</w:t>
            </w:r>
            <w:r w:rsidRPr="00DD53CE">
              <w:rPr>
                <w:rFonts w:eastAsia="Times New Roman" w:cs="Times New Roman"/>
                <w:color w:val="000000"/>
                <w:szCs w:val="24"/>
              </w:rPr>
              <w:t>03</w:t>
            </w:r>
            <w:r>
              <w:rPr>
                <w:rFonts w:eastAsia="Times New Roman" w:cs="Times New Roman"/>
                <w:color w:val="000000"/>
                <w:szCs w:val="24"/>
              </w:rPr>
              <w:t>0</w:t>
            </w:r>
          </w:p>
        </w:tc>
        <w:tc>
          <w:tcPr>
            <w:tcW w:w="756" w:type="dxa"/>
            <w:tcBorders>
              <w:bottom w:val="single" w:sz="4" w:space="0" w:color="auto"/>
            </w:tcBorders>
            <w:noWrap/>
            <w:hideMark/>
          </w:tcPr>
          <w:p w14:paraId="1A3CD89E"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7</w:t>
            </w:r>
            <w:r>
              <w:rPr>
                <w:rFonts w:eastAsia="Times New Roman" w:cs="Times New Roman"/>
                <w:color w:val="000000"/>
                <w:szCs w:val="24"/>
              </w:rPr>
              <w:t>,</w:t>
            </w:r>
            <w:r w:rsidRPr="00DD53CE">
              <w:rPr>
                <w:rFonts w:eastAsia="Times New Roman" w:cs="Times New Roman"/>
                <w:color w:val="000000"/>
                <w:szCs w:val="24"/>
              </w:rPr>
              <w:t>65</w:t>
            </w:r>
            <w:r>
              <w:rPr>
                <w:rFonts w:eastAsia="Times New Roman" w:cs="Times New Roman"/>
                <w:color w:val="000000"/>
                <w:szCs w:val="24"/>
              </w:rPr>
              <w:t>0</w:t>
            </w:r>
          </w:p>
        </w:tc>
        <w:tc>
          <w:tcPr>
            <w:tcW w:w="2166" w:type="dxa"/>
            <w:tcBorders>
              <w:bottom w:val="single" w:sz="4" w:space="0" w:color="auto"/>
            </w:tcBorders>
          </w:tcPr>
          <w:p w14:paraId="2B4ED534" w14:textId="77777777" w:rsidR="005569C1" w:rsidRPr="00DD53CE" w:rsidRDefault="005569C1" w:rsidP="000A6772">
            <w:pPr>
              <w:ind w:right="429"/>
              <w:jc w:val="right"/>
              <w:rPr>
                <w:rFonts w:asciiTheme="minorHAnsi" w:eastAsia="Times New Roman" w:hAnsiTheme="minorHAnsi" w:cs="Times New Roman"/>
                <w:color w:val="000000"/>
                <w:sz w:val="22"/>
                <w:szCs w:val="24"/>
              </w:rPr>
            </w:pPr>
            <w:r w:rsidRPr="005569C1">
              <w:rPr>
                <w:rFonts w:eastAsia="Times New Roman" w:cs="Times New Roman"/>
                <w:color w:val="000000"/>
                <w:szCs w:val="24"/>
              </w:rPr>
              <w:t>6,945</w:t>
            </w:r>
            <w:r>
              <w:rPr>
                <w:rFonts w:eastAsia="Times New Roman" w:cs="Times New Roman"/>
                <w:color w:val="000000"/>
                <w:szCs w:val="24"/>
              </w:rPr>
              <w:t>±</w:t>
            </w:r>
            <w:r w:rsidRPr="005569C1">
              <w:rPr>
                <w:rFonts w:eastAsia="Times New Roman" w:cs="Times New Roman"/>
                <w:color w:val="000000"/>
                <w:szCs w:val="24"/>
              </w:rPr>
              <w:t>3,138</w:t>
            </w:r>
          </w:p>
        </w:tc>
      </w:tr>
      <w:tr w:rsidR="0094040F" w:rsidRPr="00DD53CE" w14:paraId="494C6DF7" w14:textId="77777777" w:rsidTr="0094040F">
        <w:trPr>
          <w:trHeight w:val="297"/>
        </w:trPr>
        <w:tc>
          <w:tcPr>
            <w:tcW w:w="3510" w:type="dxa"/>
            <w:vMerge w:val="restart"/>
            <w:tcBorders>
              <w:top w:val="single" w:sz="4" w:space="0" w:color="auto"/>
            </w:tcBorders>
            <w:noWrap/>
            <w:hideMark/>
          </w:tcPr>
          <w:p w14:paraId="207FF01C" w14:textId="77777777" w:rsidR="0094040F" w:rsidRPr="00DB1D5B" w:rsidRDefault="0094040F" w:rsidP="00961614">
            <w:pPr>
              <w:spacing w:before="120" w:after="120"/>
              <w:jc w:val="center"/>
              <w:rPr>
                <w:rFonts w:eastAsia="Times New Roman" w:cs="Times New Roman"/>
                <w:b/>
                <w:color w:val="000000"/>
                <w:szCs w:val="24"/>
              </w:rPr>
            </w:pPr>
            <w:r w:rsidRPr="000A6772">
              <w:rPr>
                <w:rFonts w:eastAsia="Times New Roman" w:cs="Times New Roman"/>
                <w:b/>
                <w:color w:val="000000"/>
                <w:szCs w:val="24"/>
              </w:rPr>
              <w:t>Direct microwave regeneration</w:t>
            </w:r>
            <w:r w:rsidR="00200281">
              <w:rPr>
                <w:rFonts w:eastAsia="Times New Roman" w:cs="Times New Roman"/>
                <w:b/>
                <w:color w:val="000000"/>
                <w:szCs w:val="24"/>
              </w:rPr>
              <w:t xml:space="preserve"> (constant power microwave desorption)</w:t>
            </w:r>
          </w:p>
        </w:tc>
        <w:tc>
          <w:tcPr>
            <w:tcW w:w="3900" w:type="dxa"/>
            <w:gridSpan w:val="5"/>
            <w:tcBorders>
              <w:top w:val="single" w:sz="4" w:space="0" w:color="auto"/>
            </w:tcBorders>
            <w:noWrap/>
            <w:hideMark/>
          </w:tcPr>
          <w:p w14:paraId="672B1E0A" w14:textId="77777777" w:rsidR="0094040F" w:rsidRPr="00583665" w:rsidRDefault="0094040F" w:rsidP="00961614">
            <w:pPr>
              <w:spacing w:before="120" w:after="120"/>
              <w:jc w:val="center"/>
              <w:rPr>
                <w:rFonts w:eastAsia="Times New Roman" w:cs="Times New Roman"/>
                <w:b/>
                <w:color w:val="000000"/>
                <w:szCs w:val="24"/>
              </w:rPr>
            </w:pPr>
            <w:r w:rsidRPr="00AA3D5E">
              <w:rPr>
                <w:rFonts w:eastAsia="Times New Roman" w:cs="Times New Roman"/>
                <w:b/>
                <w:color w:val="000000"/>
                <w:szCs w:val="24"/>
              </w:rPr>
              <w:t>Cycles</w:t>
            </w:r>
          </w:p>
        </w:tc>
        <w:tc>
          <w:tcPr>
            <w:tcW w:w="2166" w:type="dxa"/>
            <w:vMerge w:val="restart"/>
            <w:tcBorders>
              <w:top w:val="single" w:sz="4" w:space="0" w:color="auto"/>
            </w:tcBorders>
          </w:tcPr>
          <w:p w14:paraId="7C2C447D" w14:textId="77777777" w:rsidR="0094040F" w:rsidRPr="000A6772" w:rsidRDefault="0094040F" w:rsidP="00961614">
            <w:pPr>
              <w:spacing w:before="120" w:after="120" w:line="276" w:lineRule="auto"/>
              <w:jc w:val="center"/>
              <w:rPr>
                <w:rFonts w:eastAsia="Times New Roman" w:cs="Times New Roman"/>
                <w:b/>
                <w:color w:val="000000"/>
                <w:szCs w:val="24"/>
              </w:rPr>
            </w:pPr>
            <w:r w:rsidRPr="000A6772">
              <w:rPr>
                <w:rFonts w:eastAsia="Times New Roman" w:cs="Times New Roman"/>
                <w:b/>
                <w:color w:val="000000"/>
                <w:szCs w:val="24"/>
              </w:rPr>
              <w:t>Average and standard deviation over 5 cycles</w:t>
            </w:r>
          </w:p>
        </w:tc>
      </w:tr>
      <w:tr w:rsidR="0094040F" w:rsidRPr="00DD53CE" w14:paraId="0F8AFBF1" w14:textId="77777777" w:rsidTr="0094040F">
        <w:trPr>
          <w:trHeight w:val="297"/>
        </w:trPr>
        <w:tc>
          <w:tcPr>
            <w:tcW w:w="3510" w:type="dxa"/>
            <w:vMerge/>
            <w:hideMark/>
          </w:tcPr>
          <w:p w14:paraId="14236EA1" w14:textId="77777777" w:rsidR="0094040F" w:rsidRPr="00DD53CE" w:rsidRDefault="0094040F" w:rsidP="00B84DF3">
            <w:pPr>
              <w:rPr>
                <w:rFonts w:eastAsia="Times New Roman" w:cs="Times New Roman"/>
                <w:color w:val="000000"/>
                <w:szCs w:val="24"/>
              </w:rPr>
            </w:pPr>
          </w:p>
        </w:tc>
        <w:tc>
          <w:tcPr>
            <w:tcW w:w="756" w:type="dxa"/>
            <w:noWrap/>
            <w:hideMark/>
          </w:tcPr>
          <w:p w14:paraId="2E57DE6C" w14:textId="77777777" w:rsidR="0094040F" w:rsidRPr="00DD53CE" w:rsidRDefault="0094040F" w:rsidP="00B84DF3">
            <w:pPr>
              <w:jc w:val="right"/>
              <w:rPr>
                <w:rFonts w:eastAsia="Times New Roman" w:cs="Times New Roman"/>
                <w:color w:val="000000"/>
                <w:szCs w:val="24"/>
              </w:rPr>
            </w:pPr>
            <w:r w:rsidRPr="00DD53CE">
              <w:rPr>
                <w:rFonts w:eastAsia="Times New Roman" w:cs="Times New Roman"/>
                <w:color w:val="000000"/>
                <w:szCs w:val="24"/>
              </w:rPr>
              <w:t>1</w:t>
            </w:r>
          </w:p>
        </w:tc>
        <w:tc>
          <w:tcPr>
            <w:tcW w:w="756" w:type="dxa"/>
            <w:noWrap/>
            <w:hideMark/>
          </w:tcPr>
          <w:p w14:paraId="7BFC9718" w14:textId="77777777" w:rsidR="0094040F" w:rsidRPr="00DD53CE" w:rsidRDefault="0094040F" w:rsidP="00B84DF3">
            <w:pPr>
              <w:jc w:val="right"/>
              <w:rPr>
                <w:rFonts w:eastAsia="Times New Roman" w:cs="Times New Roman"/>
                <w:color w:val="000000"/>
                <w:szCs w:val="24"/>
              </w:rPr>
            </w:pPr>
            <w:r w:rsidRPr="00DD53CE">
              <w:rPr>
                <w:rFonts w:eastAsia="Times New Roman" w:cs="Times New Roman"/>
                <w:color w:val="000000"/>
                <w:szCs w:val="24"/>
              </w:rPr>
              <w:t>2</w:t>
            </w:r>
          </w:p>
        </w:tc>
        <w:tc>
          <w:tcPr>
            <w:tcW w:w="756" w:type="dxa"/>
            <w:noWrap/>
            <w:hideMark/>
          </w:tcPr>
          <w:p w14:paraId="243D66F6" w14:textId="77777777" w:rsidR="0094040F" w:rsidRPr="00DD53CE" w:rsidRDefault="0094040F" w:rsidP="00B84DF3">
            <w:pPr>
              <w:jc w:val="right"/>
              <w:rPr>
                <w:rFonts w:eastAsia="Times New Roman" w:cs="Times New Roman"/>
                <w:color w:val="000000"/>
                <w:szCs w:val="24"/>
              </w:rPr>
            </w:pPr>
            <w:r w:rsidRPr="00DD53CE">
              <w:rPr>
                <w:rFonts w:eastAsia="Times New Roman" w:cs="Times New Roman"/>
                <w:color w:val="000000"/>
                <w:szCs w:val="24"/>
              </w:rPr>
              <w:t>3</w:t>
            </w:r>
          </w:p>
        </w:tc>
        <w:tc>
          <w:tcPr>
            <w:tcW w:w="876" w:type="dxa"/>
            <w:noWrap/>
            <w:hideMark/>
          </w:tcPr>
          <w:p w14:paraId="62A3ACED" w14:textId="77777777" w:rsidR="0094040F" w:rsidRPr="00DD53CE" w:rsidRDefault="0094040F" w:rsidP="00B84DF3">
            <w:pPr>
              <w:jc w:val="right"/>
              <w:rPr>
                <w:rFonts w:eastAsia="Times New Roman" w:cs="Times New Roman"/>
                <w:color w:val="000000"/>
                <w:szCs w:val="24"/>
              </w:rPr>
            </w:pPr>
            <w:r w:rsidRPr="00DD53CE">
              <w:rPr>
                <w:rFonts w:eastAsia="Times New Roman" w:cs="Times New Roman"/>
                <w:color w:val="000000"/>
                <w:szCs w:val="24"/>
              </w:rPr>
              <w:t>4</w:t>
            </w:r>
          </w:p>
        </w:tc>
        <w:tc>
          <w:tcPr>
            <w:tcW w:w="756" w:type="dxa"/>
            <w:noWrap/>
            <w:hideMark/>
          </w:tcPr>
          <w:p w14:paraId="3C2DFDD4" w14:textId="77777777" w:rsidR="0094040F" w:rsidRPr="00DD53CE" w:rsidRDefault="0094040F" w:rsidP="00B84DF3">
            <w:pPr>
              <w:jc w:val="right"/>
              <w:rPr>
                <w:rFonts w:eastAsia="Times New Roman" w:cs="Times New Roman"/>
                <w:color w:val="000000"/>
                <w:szCs w:val="24"/>
              </w:rPr>
            </w:pPr>
            <w:r w:rsidRPr="00DD53CE">
              <w:rPr>
                <w:rFonts w:eastAsia="Times New Roman" w:cs="Times New Roman"/>
                <w:color w:val="000000"/>
                <w:szCs w:val="24"/>
              </w:rPr>
              <w:t>5</w:t>
            </w:r>
          </w:p>
        </w:tc>
        <w:tc>
          <w:tcPr>
            <w:tcW w:w="2166" w:type="dxa"/>
            <w:vMerge/>
          </w:tcPr>
          <w:p w14:paraId="4B6F7FE9" w14:textId="77777777" w:rsidR="0094040F" w:rsidRPr="00DD53CE" w:rsidRDefault="0094040F" w:rsidP="00B84DF3">
            <w:pPr>
              <w:jc w:val="right"/>
              <w:rPr>
                <w:rFonts w:eastAsia="Times New Roman" w:cs="Times New Roman"/>
                <w:color w:val="000000"/>
                <w:szCs w:val="24"/>
              </w:rPr>
            </w:pPr>
          </w:p>
        </w:tc>
      </w:tr>
      <w:tr w:rsidR="005569C1" w:rsidRPr="00DD53CE" w14:paraId="60E40837" w14:textId="77777777" w:rsidTr="000A6772">
        <w:trPr>
          <w:trHeight w:val="297"/>
        </w:trPr>
        <w:tc>
          <w:tcPr>
            <w:tcW w:w="3510" w:type="dxa"/>
            <w:noWrap/>
            <w:hideMark/>
          </w:tcPr>
          <w:p w14:paraId="61F00E69"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Swing capacity (mmol/g)</w:t>
            </w:r>
          </w:p>
        </w:tc>
        <w:tc>
          <w:tcPr>
            <w:tcW w:w="756" w:type="dxa"/>
            <w:noWrap/>
            <w:hideMark/>
          </w:tcPr>
          <w:p w14:paraId="5165C562"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0.64</w:t>
            </w:r>
          </w:p>
        </w:tc>
        <w:tc>
          <w:tcPr>
            <w:tcW w:w="756" w:type="dxa"/>
            <w:noWrap/>
            <w:hideMark/>
          </w:tcPr>
          <w:p w14:paraId="48522861"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0.69</w:t>
            </w:r>
          </w:p>
        </w:tc>
        <w:tc>
          <w:tcPr>
            <w:tcW w:w="756" w:type="dxa"/>
            <w:noWrap/>
            <w:hideMark/>
          </w:tcPr>
          <w:p w14:paraId="12E3DAAC"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0.78</w:t>
            </w:r>
          </w:p>
        </w:tc>
        <w:tc>
          <w:tcPr>
            <w:tcW w:w="876" w:type="dxa"/>
            <w:noWrap/>
            <w:hideMark/>
          </w:tcPr>
          <w:p w14:paraId="4A48AC42"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0.75</w:t>
            </w:r>
          </w:p>
        </w:tc>
        <w:tc>
          <w:tcPr>
            <w:tcW w:w="756" w:type="dxa"/>
            <w:noWrap/>
            <w:hideMark/>
          </w:tcPr>
          <w:p w14:paraId="61054D85"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0.72</w:t>
            </w:r>
          </w:p>
        </w:tc>
        <w:tc>
          <w:tcPr>
            <w:tcW w:w="2166" w:type="dxa"/>
          </w:tcPr>
          <w:p w14:paraId="237BD696" w14:textId="77777777" w:rsidR="005569C1" w:rsidRPr="00DD53CE" w:rsidRDefault="005569C1" w:rsidP="000A6772">
            <w:pPr>
              <w:ind w:right="429"/>
              <w:jc w:val="right"/>
              <w:rPr>
                <w:rFonts w:asciiTheme="minorHAnsi" w:eastAsia="Times New Roman" w:hAnsiTheme="minorHAnsi" w:cs="Times New Roman"/>
                <w:color w:val="000000"/>
                <w:sz w:val="22"/>
                <w:szCs w:val="24"/>
              </w:rPr>
            </w:pPr>
            <w:r w:rsidRPr="005569C1">
              <w:rPr>
                <w:rFonts w:eastAsia="Times New Roman" w:cs="Times New Roman"/>
                <w:color w:val="000000"/>
                <w:szCs w:val="24"/>
              </w:rPr>
              <w:t>0.72</w:t>
            </w:r>
            <w:r>
              <w:rPr>
                <w:rFonts w:eastAsia="Times New Roman" w:cs="Times New Roman"/>
                <w:color w:val="000000"/>
                <w:szCs w:val="24"/>
              </w:rPr>
              <w:t xml:space="preserve"> ±</w:t>
            </w:r>
            <w:r w:rsidRPr="005569C1">
              <w:rPr>
                <w:rFonts w:eastAsia="Times New Roman" w:cs="Times New Roman"/>
                <w:color w:val="000000"/>
                <w:szCs w:val="24"/>
              </w:rPr>
              <w:t>0.05</w:t>
            </w:r>
          </w:p>
        </w:tc>
      </w:tr>
      <w:tr w:rsidR="005569C1" w:rsidRPr="00DD53CE" w14:paraId="25258C6B" w14:textId="77777777" w:rsidTr="000A6772">
        <w:trPr>
          <w:trHeight w:val="297"/>
        </w:trPr>
        <w:tc>
          <w:tcPr>
            <w:tcW w:w="3510" w:type="dxa"/>
            <w:noWrap/>
            <w:hideMark/>
          </w:tcPr>
          <w:p w14:paraId="271C0A03"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Gas recovery</w:t>
            </w:r>
            <w:r w:rsidR="00DE455B">
              <w:rPr>
                <w:rFonts w:eastAsia="Times New Roman" w:cs="Times New Roman"/>
                <w:color w:val="000000"/>
                <w:szCs w:val="24"/>
              </w:rPr>
              <w:t xml:space="preserve"> </w:t>
            </w:r>
            <w:r w:rsidRPr="00DD53CE">
              <w:rPr>
                <w:rFonts w:eastAsia="Times New Roman" w:cs="Times New Roman"/>
                <w:color w:val="000000"/>
                <w:szCs w:val="24"/>
              </w:rPr>
              <w:t>(%)</w:t>
            </w:r>
          </w:p>
        </w:tc>
        <w:tc>
          <w:tcPr>
            <w:tcW w:w="756" w:type="dxa"/>
            <w:noWrap/>
            <w:hideMark/>
          </w:tcPr>
          <w:p w14:paraId="79B8DB5F"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40</w:t>
            </w:r>
          </w:p>
        </w:tc>
        <w:tc>
          <w:tcPr>
            <w:tcW w:w="756" w:type="dxa"/>
            <w:noWrap/>
            <w:hideMark/>
          </w:tcPr>
          <w:p w14:paraId="43C4B3E3"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44</w:t>
            </w:r>
          </w:p>
        </w:tc>
        <w:tc>
          <w:tcPr>
            <w:tcW w:w="756" w:type="dxa"/>
            <w:noWrap/>
            <w:hideMark/>
          </w:tcPr>
          <w:p w14:paraId="6C35E65A"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55</w:t>
            </w:r>
          </w:p>
        </w:tc>
        <w:tc>
          <w:tcPr>
            <w:tcW w:w="876" w:type="dxa"/>
            <w:noWrap/>
            <w:hideMark/>
          </w:tcPr>
          <w:p w14:paraId="6AD2F132"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48</w:t>
            </w:r>
          </w:p>
        </w:tc>
        <w:tc>
          <w:tcPr>
            <w:tcW w:w="756" w:type="dxa"/>
            <w:noWrap/>
            <w:hideMark/>
          </w:tcPr>
          <w:p w14:paraId="397BF796"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46</w:t>
            </w:r>
          </w:p>
        </w:tc>
        <w:tc>
          <w:tcPr>
            <w:tcW w:w="2166" w:type="dxa"/>
          </w:tcPr>
          <w:p w14:paraId="63D60909" w14:textId="77777777" w:rsidR="005569C1" w:rsidRPr="00DD53CE" w:rsidRDefault="005569C1" w:rsidP="000A6772">
            <w:pPr>
              <w:ind w:right="429"/>
              <w:jc w:val="right"/>
              <w:rPr>
                <w:rFonts w:asciiTheme="minorHAnsi" w:eastAsia="Times New Roman" w:hAnsiTheme="minorHAnsi" w:cs="Times New Roman"/>
                <w:color w:val="000000"/>
                <w:sz w:val="22"/>
                <w:szCs w:val="24"/>
              </w:rPr>
            </w:pPr>
            <w:r w:rsidRPr="005569C1">
              <w:rPr>
                <w:rFonts w:eastAsia="Times New Roman" w:cs="Times New Roman"/>
                <w:color w:val="000000"/>
                <w:szCs w:val="24"/>
              </w:rPr>
              <w:t>47</w:t>
            </w:r>
            <w:r>
              <w:rPr>
                <w:rFonts w:eastAsia="Times New Roman" w:cs="Times New Roman"/>
                <w:color w:val="000000"/>
                <w:szCs w:val="24"/>
              </w:rPr>
              <w:t>±</w:t>
            </w:r>
            <w:r w:rsidRPr="005569C1">
              <w:rPr>
                <w:rFonts w:eastAsia="Times New Roman" w:cs="Times New Roman"/>
                <w:color w:val="000000"/>
                <w:szCs w:val="24"/>
              </w:rPr>
              <w:t>6</w:t>
            </w:r>
          </w:p>
        </w:tc>
      </w:tr>
      <w:tr w:rsidR="005569C1" w:rsidRPr="00DD53CE" w14:paraId="5806313E" w14:textId="77777777" w:rsidTr="000A6772">
        <w:trPr>
          <w:trHeight w:val="297"/>
        </w:trPr>
        <w:tc>
          <w:tcPr>
            <w:tcW w:w="3510" w:type="dxa"/>
            <w:noWrap/>
            <w:hideMark/>
          </w:tcPr>
          <w:p w14:paraId="2C8898CC"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Energy consumed per gram adsorbent regenerated (J/g)</w:t>
            </w:r>
          </w:p>
        </w:tc>
        <w:tc>
          <w:tcPr>
            <w:tcW w:w="756" w:type="dxa"/>
            <w:noWrap/>
            <w:hideMark/>
          </w:tcPr>
          <w:p w14:paraId="0F5A9F3B"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3</w:t>
            </w:r>
            <w:r>
              <w:rPr>
                <w:rFonts w:eastAsia="Times New Roman" w:cs="Times New Roman"/>
                <w:color w:val="000000"/>
                <w:szCs w:val="24"/>
              </w:rPr>
              <w:t>00</w:t>
            </w:r>
          </w:p>
        </w:tc>
        <w:tc>
          <w:tcPr>
            <w:tcW w:w="756" w:type="dxa"/>
            <w:noWrap/>
            <w:hideMark/>
          </w:tcPr>
          <w:p w14:paraId="229B5B19"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3</w:t>
            </w:r>
            <w:r>
              <w:rPr>
                <w:rFonts w:eastAsia="Times New Roman" w:cs="Times New Roman"/>
                <w:color w:val="000000"/>
                <w:szCs w:val="24"/>
              </w:rPr>
              <w:t>09</w:t>
            </w:r>
          </w:p>
        </w:tc>
        <w:tc>
          <w:tcPr>
            <w:tcW w:w="756" w:type="dxa"/>
            <w:noWrap/>
            <w:hideMark/>
          </w:tcPr>
          <w:p w14:paraId="3D029E8E"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3</w:t>
            </w:r>
            <w:r>
              <w:rPr>
                <w:rFonts w:eastAsia="Times New Roman" w:cs="Times New Roman"/>
                <w:color w:val="000000"/>
                <w:szCs w:val="24"/>
              </w:rPr>
              <w:t>68</w:t>
            </w:r>
          </w:p>
        </w:tc>
        <w:tc>
          <w:tcPr>
            <w:tcW w:w="876" w:type="dxa"/>
            <w:noWrap/>
            <w:hideMark/>
          </w:tcPr>
          <w:p w14:paraId="28898A93"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33</w:t>
            </w:r>
            <w:r>
              <w:rPr>
                <w:rFonts w:eastAsia="Times New Roman" w:cs="Times New Roman"/>
                <w:color w:val="000000"/>
                <w:szCs w:val="24"/>
              </w:rPr>
              <w:t>2</w:t>
            </w:r>
          </w:p>
        </w:tc>
        <w:tc>
          <w:tcPr>
            <w:tcW w:w="756" w:type="dxa"/>
            <w:noWrap/>
            <w:hideMark/>
          </w:tcPr>
          <w:p w14:paraId="3F95ECD7"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3</w:t>
            </w:r>
            <w:r>
              <w:rPr>
                <w:rFonts w:eastAsia="Times New Roman" w:cs="Times New Roman"/>
                <w:color w:val="000000"/>
                <w:szCs w:val="24"/>
              </w:rPr>
              <w:t>13</w:t>
            </w:r>
          </w:p>
        </w:tc>
        <w:tc>
          <w:tcPr>
            <w:tcW w:w="2166" w:type="dxa"/>
          </w:tcPr>
          <w:p w14:paraId="75ABB9DC" w14:textId="77777777" w:rsidR="005569C1" w:rsidRPr="00DD53CE" w:rsidRDefault="005569C1" w:rsidP="000A6772">
            <w:pPr>
              <w:ind w:right="429"/>
              <w:jc w:val="right"/>
              <w:rPr>
                <w:rFonts w:asciiTheme="minorHAnsi" w:eastAsia="Times New Roman" w:hAnsiTheme="minorHAnsi" w:cs="Times New Roman"/>
                <w:color w:val="000000"/>
                <w:sz w:val="22"/>
                <w:szCs w:val="24"/>
              </w:rPr>
            </w:pPr>
            <w:r w:rsidRPr="005569C1">
              <w:rPr>
                <w:rFonts w:eastAsia="Times New Roman" w:cs="Times New Roman"/>
                <w:color w:val="000000"/>
                <w:szCs w:val="24"/>
              </w:rPr>
              <w:t>324</w:t>
            </w:r>
            <w:r>
              <w:rPr>
                <w:rFonts w:eastAsia="Times New Roman" w:cs="Times New Roman"/>
                <w:color w:val="000000"/>
                <w:szCs w:val="24"/>
              </w:rPr>
              <w:t>±</w:t>
            </w:r>
            <w:r w:rsidRPr="005569C1">
              <w:rPr>
                <w:rFonts w:eastAsia="Times New Roman" w:cs="Times New Roman"/>
                <w:color w:val="000000"/>
                <w:szCs w:val="24"/>
              </w:rPr>
              <w:t>27</w:t>
            </w:r>
          </w:p>
        </w:tc>
      </w:tr>
      <w:tr w:rsidR="005569C1" w:rsidRPr="00DD53CE" w14:paraId="65974478" w14:textId="77777777" w:rsidTr="000A6772">
        <w:trPr>
          <w:trHeight w:val="297"/>
        </w:trPr>
        <w:tc>
          <w:tcPr>
            <w:tcW w:w="3510" w:type="dxa"/>
            <w:tcBorders>
              <w:bottom w:val="single" w:sz="4" w:space="0" w:color="auto"/>
            </w:tcBorders>
            <w:noWrap/>
            <w:hideMark/>
          </w:tcPr>
          <w:p w14:paraId="009C0F57" w14:textId="77777777" w:rsidR="005569C1" w:rsidRPr="00DD53CE" w:rsidRDefault="005569C1" w:rsidP="00B84DF3">
            <w:pPr>
              <w:rPr>
                <w:rFonts w:eastAsia="Times New Roman" w:cs="Times New Roman"/>
                <w:color w:val="000000"/>
                <w:szCs w:val="24"/>
              </w:rPr>
            </w:pPr>
            <w:r w:rsidRPr="00DD53CE">
              <w:rPr>
                <w:rFonts w:eastAsia="Times New Roman" w:cs="Times New Roman"/>
                <w:color w:val="000000"/>
                <w:szCs w:val="24"/>
              </w:rPr>
              <w:t>Energy consumed per mol</w:t>
            </w:r>
            <w:r w:rsidR="00DE455B">
              <w:rPr>
                <w:rFonts w:eastAsia="Times New Roman" w:cs="Times New Roman"/>
                <w:color w:val="000000"/>
                <w:szCs w:val="24"/>
              </w:rPr>
              <w:t>e</w:t>
            </w:r>
            <w:r w:rsidRPr="00DD53CE">
              <w:rPr>
                <w:rFonts w:eastAsia="Times New Roman" w:cs="Times New Roman"/>
                <w:color w:val="000000"/>
                <w:szCs w:val="24"/>
              </w:rPr>
              <w:t xml:space="preserve"> gas desorbed (J/mmol)</w:t>
            </w:r>
          </w:p>
        </w:tc>
        <w:tc>
          <w:tcPr>
            <w:tcW w:w="756" w:type="dxa"/>
            <w:tcBorders>
              <w:bottom w:val="single" w:sz="4" w:space="0" w:color="auto"/>
            </w:tcBorders>
            <w:noWrap/>
            <w:hideMark/>
          </w:tcPr>
          <w:p w14:paraId="7E051AB9"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3</w:t>
            </w:r>
            <w:r>
              <w:rPr>
                <w:rFonts w:eastAsia="Times New Roman" w:cs="Times New Roman"/>
                <w:color w:val="000000"/>
                <w:szCs w:val="24"/>
              </w:rPr>
              <w:t>87</w:t>
            </w:r>
          </w:p>
        </w:tc>
        <w:tc>
          <w:tcPr>
            <w:tcW w:w="756" w:type="dxa"/>
            <w:tcBorders>
              <w:bottom w:val="single" w:sz="4" w:space="0" w:color="auto"/>
            </w:tcBorders>
            <w:noWrap/>
            <w:hideMark/>
          </w:tcPr>
          <w:p w14:paraId="24DF2C29" w14:textId="77777777" w:rsidR="005569C1" w:rsidRPr="00DD53CE" w:rsidRDefault="005569C1" w:rsidP="00B84DF3">
            <w:pPr>
              <w:jc w:val="right"/>
              <w:rPr>
                <w:rFonts w:eastAsia="Times New Roman" w:cs="Times New Roman"/>
                <w:color w:val="000000"/>
                <w:szCs w:val="24"/>
              </w:rPr>
            </w:pPr>
            <w:r>
              <w:rPr>
                <w:rFonts w:eastAsia="Times New Roman" w:cs="Times New Roman"/>
                <w:color w:val="000000"/>
                <w:szCs w:val="24"/>
              </w:rPr>
              <w:t>399</w:t>
            </w:r>
          </w:p>
        </w:tc>
        <w:tc>
          <w:tcPr>
            <w:tcW w:w="756" w:type="dxa"/>
            <w:tcBorders>
              <w:bottom w:val="single" w:sz="4" w:space="0" w:color="auto"/>
            </w:tcBorders>
            <w:noWrap/>
            <w:hideMark/>
          </w:tcPr>
          <w:p w14:paraId="20ADF724"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4</w:t>
            </w:r>
            <w:r>
              <w:rPr>
                <w:rFonts w:eastAsia="Times New Roman" w:cs="Times New Roman"/>
                <w:color w:val="000000"/>
                <w:szCs w:val="24"/>
              </w:rPr>
              <w:t>76</w:t>
            </w:r>
          </w:p>
        </w:tc>
        <w:tc>
          <w:tcPr>
            <w:tcW w:w="876" w:type="dxa"/>
            <w:tcBorders>
              <w:bottom w:val="single" w:sz="4" w:space="0" w:color="auto"/>
            </w:tcBorders>
            <w:noWrap/>
            <w:hideMark/>
          </w:tcPr>
          <w:p w14:paraId="4CEED62D" w14:textId="77777777" w:rsidR="005569C1" w:rsidRPr="00DD53CE" w:rsidRDefault="005569C1" w:rsidP="00B84DF3">
            <w:pPr>
              <w:jc w:val="right"/>
              <w:rPr>
                <w:rFonts w:eastAsia="Times New Roman" w:cs="Times New Roman"/>
                <w:color w:val="000000"/>
                <w:szCs w:val="24"/>
              </w:rPr>
            </w:pPr>
            <w:r w:rsidRPr="00DD53CE">
              <w:rPr>
                <w:rFonts w:eastAsia="Times New Roman" w:cs="Times New Roman"/>
                <w:color w:val="000000"/>
                <w:szCs w:val="24"/>
              </w:rPr>
              <w:t>4</w:t>
            </w:r>
            <w:r>
              <w:rPr>
                <w:rFonts w:eastAsia="Times New Roman" w:cs="Times New Roman"/>
                <w:color w:val="000000"/>
                <w:szCs w:val="24"/>
              </w:rPr>
              <w:t>28</w:t>
            </w:r>
          </w:p>
        </w:tc>
        <w:tc>
          <w:tcPr>
            <w:tcW w:w="756" w:type="dxa"/>
            <w:tcBorders>
              <w:bottom w:val="single" w:sz="4" w:space="0" w:color="auto"/>
            </w:tcBorders>
            <w:noWrap/>
            <w:hideMark/>
          </w:tcPr>
          <w:p w14:paraId="019B5BBC" w14:textId="77777777" w:rsidR="005569C1" w:rsidRPr="00DD53CE" w:rsidRDefault="005569C1" w:rsidP="00B84DF3">
            <w:pPr>
              <w:jc w:val="right"/>
              <w:rPr>
                <w:rFonts w:eastAsia="Times New Roman" w:cs="Times New Roman"/>
                <w:color w:val="000000"/>
                <w:szCs w:val="24"/>
              </w:rPr>
            </w:pPr>
            <w:r>
              <w:rPr>
                <w:rFonts w:eastAsia="Times New Roman" w:cs="Times New Roman"/>
                <w:color w:val="000000"/>
                <w:szCs w:val="24"/>
              </w:rPr>
              <w:t>404</w:t>
            </w:r>
          </w:p>
        </w:tc>
        <w:tc>
          <w:tcPr>
            <w:tcW w:w="2166" w:type="dxa"/>
            <w:tcBorders>
              <w:bottom w:val="single" w:sz="4" w:space="0" w:color="auto"/>
            </w:tcBorders>
          </w:tcPr>
          <w:p w14:paraId="401AF78A" w14:textId="77777777" w:rsidR="005569C1" w:rsidRDefault="005569C1" w:rsidP="000A6772">
            <w:pPr>
              <w:ind w:right="429"/>
              <w:jc w:val="right"/>
              <w:rPr>
                <w:rFonts w:asciiTheme="minorHAnsi" w:eastAsia="Times New Roman" w:hAnsiTheme="minorHAnsi" w:cs="Times New Roman"/>
                <w:color w:val="000000"/>
                <w:sz w:val="22"/>
                <w:szCs w:val="24"/>
              </w:rPr>
            </w:pPr>
            <w:r w:rsidRPr="005569C1">
              <w:rPr>
                <w:rFonts w:eastAsia="Times New Roman" w:cs="Times New Roman"/>
                <w:color w:val="000000"/>
                <w:szCs w:val="24"/>
              </w:rPr>
              <w:t>419</w:t>
            </w:r>
            <w:r>
              <w:rPr>
                <w:rFonts w:eastAsia="Times New Roman" w:cs="Times New Roman"/>
                <w:color w:val="000000"/>
                <w:szCs w:val="24"/>
              </w:rPr>
              <w:t>±</w:t>
            </w:r>
            <w:r w:rsidRPr="005569C1">
              <w:rPr>
                <w:rFonts w:eastAsia="Times New Roman" w:cs="Times New Roman"/>
                <w:color w:val="000000"/>
                <w:szCs w:val="24"/>
              </w:rPr>
              <w:t>35</w:t>
            </w:r>
          </w:p>
        </w:tc>
      </w:tr>
    </w:tbl>
    <w:p w14:paraId="772AA501" w14:textId="77777777" w:rsidR="003741E6" w:rsidRPr="008D13C3" w:rsidRDefault="003741E6" w:rsidP="00B84DF3">
      <w:pPr>
        <w:pStyle w:val="Caption"/>
        <w:jc w:val="both"/>
        <w:rPr>
          <w:rFonts w:ascii="Times New Roman" w:hAnsi="Times New Roman" w:cs="Times New Roman"/>
          <w:color w:val="auto"/>
          <w:sz w:val="24"/>
          <w:szCs w:val="24"/>
        </w:rPr>
      </w:pPr>
    </w:p>
    <w:p w14:paraId="3A090968" w14:textId="77777777" w:rsidR="003741E6" w:rsidRPr="00F80A39" w:rsidRDefault="003741E6" w:rsidP="00BE1B0C">
      <w:pPr>
        <w:spacing w:line="480" w:lineRule="auto"/>
        <w:jc w:val="both"/>
        <w:rPr>
          <w:rFonts w:ascii="Times New Roman" w:hAnsi="Times New Roman" w:cs="Times New Roman"/>
          <w:sz w:val="24"/>
          <w:szCs w:val="24"/>
        </w:rPr>
      </w:pPr>
      <w:r>
        <w:rPr>
          <w:rFonts w:ascii="Times New Roman" w:hAnsi="Times New Roman" w:cs="Times New Roman"/>
          <w:sz w:val="24"/>
          <w:szCs w:val="24"/>
        </w:rPr>
        <w:t>The s</w:t>
      </w:r>
      <w:r w:rsidRPr="003070D0">
        <w:rPr>
          <w:rFonts w:ascii="Times New Roman" w:hAnsi="Times New Roman" w:cs="Times New Roman"/>
          <w:sz w:val="24"/>
          <w:szCs w:val="24"/>
        </w:rPr>
        <w:t>wing capacity, gas recovery</w:t>
      </w:r>
      <w:r>
        <w:rPr>
          <w:rFonts w:ascii="Times New Roman" w:hAnsi="Times New Roman" w:cs="Times New Roman"/>
          <w:sz w:val="24"/>
          <w:szCs w:val="24"/>
        </w:rPr>
        <w:t>,</w:t>
      </w:r>
      <w:r w:rsidRPr="003070D0">
        <w:rPr>
          <w:rFonts w:ascii="Times New Roman" w:hAnsi="Times New Roman" w:cs="Times New Roman"/>
          <w:sz w:val="24"/>
          <w:szCs w:val="24"/>
        </w:rPr>
        <w:t xml:space="preserve"> and net energy consumption over five cycles of adsorption and desorption remain</w:t>
      </w:r>
      <w:r>
        <w:rPr>
          <w:rFonts w:ascii="Times New Roman" w:hAnsi="Times New Roman" w:cs="Times New Roman"/>
          <w:sz w:val="24"/>
          <w:szCs w:val="24"/>
        </w:rPr>
        <w:t>ed</w:t>
      </w:r>
      <w:r w:rsidRPr="003070D0">
        <w:rPr>
          <w:rFonts w:ascii="Times New Roman" w:hAnsi="Times New Roman" w:cs="Times New Roman"/>
          <w:sz w:val="24"/>
          <w:szCs w:val="24"/>
        </w:rPr>
        <w:t xml:space="preserve"> </w:t>
      </w:r>
      <w:r w:rsidR="00562B5B">
        <w:rPr>
          <w:rFonts w:ascii="Times New Roman" w:hAnsi="Times New Roman" w:cs="Times New Roman"/>
          <w:sz w:val="24"/>
          <w:szCs w:val="24"/>
        </w:rPr>
        <w:t>relatively constant</w:t>
      </w:r>
      <w:r w:rsidR="00562B5B" w:rsidRPr="003070D0">
        <w:rPr>
          <w:rFonts w:ascii="Times New Roman" w:hAnsi="Times New Roman" w:cs="Times New Roman"/>
          <w:sz w:val="24"/>
          <w:szCs w:val="24"/>
        </w:rPr>
        <w:t xml:space="preserve"> </w:t>
      </w:r>
      <w:r w:rsidRPr="003070D0">
        <w:rPr>
          <w:rFonts w:ascii="Times New Roman" w:hAnsi="Times New Roman" w:cs="Times New Roman"/>
          <w:sz w:val="24"/>
          <w:szCs w:val="24"/>
        </w:rPr>
        <w:t xml:space="preserve">for </w:t>
      </w:r>
      <w:r w:rsidR="00DB1D5B">
        <w:rPr>
          <w:rFonts w:ascii="Times New Roman" w:hAnsi="Times New Roman" w:cs="Times New Roman"/>
          <w:sz w:val="24"/>
          <w:szCs w:val="24"/>
        </w:rPr>
        <w:t xml:space="preserve">direct </w:t>
      </w:r>
      <w:r w:rsidR="00787D14">
        <w:rPr>
          <w:rFonts w:ascii="Times New Roman" w:hAnsi="Times New Roman" w:cs="Times New Roman"/>
          <w:sz w:val="24"/>
          <w:szCs w:val="24"/>
        </w:rPr>
        <w:t>microwave</w:t>
      </w:r>
      <w:r w:rsidR="00DB1D5B">
        <w:rPr>
          <w:rFonts w:ascii="Times New Roman" w:hAnsi="Times New Roman" w:cs="Times New Roman"/>
          <w:sz w:val="24"/>
          <w:szCs w:val="24"/>
        </w:rPr>
        <w:t xml:space="preserve"> </w:t>
      </w:r>
      <w:r w:rsidR="00DB1D5B" w:rsidRPr="000A6772">
        <w:rPr>
          <w:rFonts w:ascii="Times New Roman" w:hAnsi="Times New Roman" w:cs="Times New Roman"/>
          <w:sz w:val="24"/>
          <w:szCs w:val="24"/>
        </w:rPr>
        <w:t>regeneration</w:t>
      </w:r>
      <w:r w:rsidRPr="003070D0">
        <w:rPr>
          <w:rFonts w:ascii="Times New Roman" w:hAnsi="Times New Roman" w:cs="Times New Roman"/>
          <w:sz w:val="24"/>
          <w:szCs w:val="24"/>
        </w:rPr>
        <w:t xml:space="preserve">. Hence, </w:t>
      </w:r>
      <w:r>
        <w:rPr>
          <w:rFonts w:ascii="Times New Roman" w:hAnsi="Times New Roman" w:cs="Times New Roman"/>
          <w:sz w:val="24"/>
          <w:szCs w:val="24"/>
        </w:rPr>
        <w:t xml:space="preserve">the </w:t>
      </w:r>
      <w:r w:rsidRPr="003070D0">
        <w:rPr>
          <w:rFonts w:ascii="Times New Roman" w:hAnsi="Times New Roman" w:cs="Times New Roman"/>
          <w:sz w:val="24"/>
          <w:szCs w:val="24"/>
        </w:rPr>
        <w:t>repetitive microwave heating d</w:t>
      </w:r>
      <w:r>
        <w:rPr>
          <w:rFonts w:ascii="Times New Roman" w:hAnsi="Times New Roman" w:cs="Times New Roman"/>
          <w:sz w:val="24"/>
          <w:szCs w:val="24"/>
        </w:rPr>
        <w:t>id</w:t>
      </w:r>
      <w:r w:rsidRPr="003070D0">
        <w:rPr>
          <w:rFonts w:ascii="Times New Roman" w:hAnsi="Times New Roman" w:cs="Times New Roman"/>
          <w:sz w:val="24"/>
          <w:szCs w:val="24"/>
        </w:rPr>
        <w:t xml:space="preserve"> not affect the adsorption capacity of Na-ETS-10</w:t>
      </w:r>
      <w:r w:rsidR="00DB1D5B" w:rsidRPr="00DB1D5B">
        <w:rPr>
          <w:rFonts w:ascii="Times New Roman" w:hAnsi="Times New Roman" w:cs="Times New Roman"/>
          <w:sz w:val="24"/>
          <w:szCs w:val="24"/>
        </w:rPr>
        <w:t xml:space="preserve"> </w:t>
      </w:r>
      <w:r w:rsidR="00DB1D5B">
        <w:rPr>
          <w:rFonts w:ascii="Times New Roman" w:hAnsi="Times New Roman" w:cs="Times New Roman"/>
          <w:sz w:val="24"/>
          <w:szCs w:val="24"/>
        </w:rPr>
        <w:t xml:space="preserve">which supports the previous findings (Shi et al, 2010, </w:t>
      </w:r>
      <w:r w:rsidR="00DB1D5B" w:rsidRPr="00F80A39">
        <w:rPr>
          <w:rFonts w:ascii="Times New Roman" w:hAnsi="Times New Roman" w:cs="Times New Roman"/>
          <w:sz w:val="24"/>
          <w:szCs w:val="24"/>
        </w:rPr>
        <w:t>Chowdhury et al, 2012).</w:t>
      </w:r>
    </w:p>
    <w:p w14:paraId="07BA9FF2" w14:textId="347422FC" w:rsidR="00BE1B0C" w:rsidRDefault="00200281"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W</w:t>
      </w:r>
      <w:r w:rsidR="003741E6" w:rsidRPr="00F80A39">
        <w:rPr>
          <w:rFonts w:ascii="Times New Roman" w:hAnsi="Times New Roman" w:cs="Times New Roman"/>
          <w:sz w:val="24"/>
          <w:szCs w:val="24"/>
        </w:rPr>
        <w:t>ater has higher adsorption strength than CO</w:t>
      </w:r>
      <w:r w:rsidR="003741E6" w:rsidRPr="00F80A39">
        <w:rPr>
          <w:rFonts w:ascii="Times New Roman" w:hAnsi="Times New Roman" w:cs="Times New Roman"/>
          <w:sz w:val="24"/>
          <w:szCs w:val="24"/>
          <w:vertAlign w:val="subscript"/>
        </w:rPr>
        <w:t>2</w:t>
      </w:r>
      <w:r w:rsidR="003741E6" w:rsidRPr="00F80A39">
        <w:rPr>
          <w:rFonts w:ascii="Times New Roman" w:hAnsi="Times New Roman" w:cs="Times New Roman"/>
          <w:sz w:val="24"/>
          <w:szCs w:val="24"/>
        </w:rPr>
        <w:t xml:space="preserve"> and CH</w:t>
      </w:r>
      <w:r w:rsidR="003741E6" w:rsidRPr="00F80A39">
        <w:rPr>
          <w:rFonts w:ascii="Times New Roman" w:hAnsi="Times New Roman" w:cs="Times New Roman"/>
          <w:sz w:val="24"/>
          <w:szCs w:val="24"/>
          <w:vertAlign w:val="subscript"/>
        </w:rPr>
        <w:t>4</w:t>
      </w:r>
      <w:r w:rsidR="003741E6" w:rsidRPr="00F80A39">
        <w:rPr>
          <w:rFonts w:ascii="Times New Roman" w:hAnsi="Times New Roman" w:cs="Times New Roman"/>
          <w:sz w:val="24"/>
          <w:szCs w:val="24"/>
        </w:rPr>
        <w:t xml:space="preserve"> (Li et al., 2009). </w:t>
      </w:r>
      <w:r w:rsidR="00BB5CDA" w:rsidRPr="00F80A39">
        <w:rPr>
          <w:rFonts w:ascii="Times New Roman" w:hAnsi="Times New Roman" w:cs="Times New Roman"/>
          <w:sz w:val="24"/>
          <w:szCs w:val="24"/>
        </w:rPr>
        <w:t xml:space="preserve">In addition, since </w:t>
      </w:r>
      <w:r w:rsidR="00562B5B" w:rsidRPr="00F80A39">
        <w:rPr>
          <w:rFonts w:ascii="Times New Roman" w:hAnsi="Times New Roman" w:cs="Times New Roman"/>
          <w:sz w:val="24"/>
          <w:szCs w:val="24"/>
        </w:rPr>
        <w:t>the amount of water adsorbed is higher than</w:t>
      </w:r>
      <w:r w:rsidR="005D21F6">
        <w:rPr>
          <w:rFonts w:ascii="Times New Roman" w:hAnsi="Times New Roman" w:cs="Times New Roman"/>
          <w:sz w:val="24"/>
          <w:szCs w:val="24"/>
        </w:rPr>
        <w:t xml:space="preserve"> </w:t>
      </w:r>
      <w:r w:rsidR="00562B5B">
        <w:rPr>
          <w:rFonts w:ascii="Times New Roman" w:hAnsi="Times New Roman" w:cs="Times New Roman"/>
          <w:sz w:val="24"/>
          <w:szCs w:val="24"/>
        </w:rPr>
        <w:t>the amount of gas CO</w:t>
      </w:r>
      <w:r w:rsidR="00562B5B" w:rsidRPr="00061EBD">
        <w:rPr>
          <w:rFonts w:ascii="Times New Roman" w:hAnsi="Times New Roman" w:cs="Times New Roman"/>
          <w:sz w:val="24"/>
          <w:szCs w:val="24"/>
          <w:vertAlign w:val="subscript"/>
        </w:rPr>
        <w:t>2</w:t>
      </w:r>
      <w:r w:rsidR="00562B5B">
        <w:rPr>
          <w:rFonts w:ascii="Times New Roman" w:hAnsi="Times New Roman" w:cs="Times New Roman"/>
          <w:sz w:val="24"/>
          <w:szCs w:val="24"/>
        </w:rPr>
        <w:t>/CH</w:t>
      </w:r>
      <w:r w:rsidR="00562B5B" w:rsidRPr="00061EBD">
        <w:rPr>
          <w:rFonts w:ascii="Times New Roman" w:hAnsi="Times New Roman" w:cs="Times New Roman"/>
          <w:sz w:val="24"/>
          <w:szCs w:val="24"/>
          <w:vertAlign w:val="subscript"/>
        </w:rPr>
        <w:t>4</w:t>
      </w:r>
      <w:r w:rsidR="00562B5B">
        <w:rPr>
          <w:rFonts w:ascii="Times New Roman" w:hAnsi="Times New Roman" w:cs="Times New Roman"/>
          <w:sz w:val="24"/>
          <w:szCs w:val="24"/>
        </w:rPr>
        <w:t xml:space="preserve"> adsorbed</w:t>
      </w:r>
      <w:r w:rsidR="003741E6" w:rsidRPr="003070D0">
        <w:rPr>
          <w:rFonts w:ascii="Times New Roman" w:hAnsi="Times New Roman" w:cs="Times New Roman"/>
          <w:sz w:val="24"/>
          <w:szCs w:val="24"/>
        </w:rPr>
        <w:t xml:space="preserve">, </w:t>
      </w:r>
      <w:r w:rsidR="00BB5CDA">
        <w:rPr>
          <w:rFonts w:ascii="Times New Roman" w:hAnsi="Times New Roman" w:cs="Times New Roman"/>
          <w:sz w:val="24"/>
          <w:szCs w:val="24"/>
        </w:rPr>
        <w:t>h</w:t>
      </w:r>
      <w:r w:rsidR="003741E6" w:rsidRPr="003070D0">
        <w:rPr>
          <w:rFonts w:ascii="Times New Roman" w:hAnsi="Times New Roman" w:cs="Times New Roman"/>
          <w:sz w:val="24"/>
          <w:szCs w:val="24"/>
        </w:rPr>
        <w:t xml:space="preserve">igher microwave energy is required to reactivate the adsorbent in water desorption. </w:t>
      </w:r>
      <w:r w:rsidR="003741E6">
        <w:rPr>
          <w:rFonts w:ascii="Times New Roman" w:hAnsi="Times New Roman" w:cs="Times New Roman"/>
          <w:sz w:val="24"/>
          <w:szCs w:val="24"/>
        </w:rPr>
        <w:t>M</w:t>
      </w:r>
      <w:r w:rsidR="003741E6" w:rsidRPr="003070D0">
        <w:rPr>
          <w:rFonts w:ascii="Times New Roman" w:hAnsi="Times New Roman" w:cs="Times New Roman"/>
          <w:sz w:val="24"/>
          <w:szCs w:val="24"/>
        </w:rPr>
        <w:t>icrowave power can induce dipole moments into adsorbat</w:t>
      </w:r>
      <w:r w:rsidR="00BB5CDA">
        <w:rPr>
          <w:rFonts w:ascii="Times New Roman" w:hAnsi="Times New Roman" w:cs="Times New Roman"/>
          <w:sz w:val="24"/>
          <w:szCs w:val="24"/>
        </w:rPr>
        <w:t>es that are typically non-polar,</w:t>
      </w:r>
      <w:r w:rsidR="003741E6">
        <w:rPr>
          <w:rFonts w:ascii="Times New Roman" w:hAnsi="Times New Roman" w:cs="Times New Roman"/>
          <w:sz w:val="24"/>
          <w:szCs w:val="24"/>
        </w:rPr>
        <w:t xml:space="preserve"> have low adsorptive strength </w:t>
      </w:r>
      <w:r w:rsidR="003741E6" w:rsidRPr="003070D0">
        <w:rPr>
          <w:rFonts w:ascii="Times New Roman" w:hAnsi="Times New Roman" w:cs="Times New Roman"/>
          <w:sz w:val="24"/>
          <w:szCs w:val="24"/>
        </w:rPr>
        <w:t>but carr</w:t>
      </w:r>
      <w:r w:rsidR="003741E6">
        <w:rPr>
          <w:rFonts w:ascii="Times New Roman" w:hAnsi="Times New Roman" w:cs="Times New Roman"/>
          <w:sz w:val="24"/>
          <w:szCs w:val="24"/>
        </w:rPr>
        <w:t>y</w:t>
      </w:r>
      <w:r w:rsidR="003741E6" w:rsidRPr="003070D0">
        <w:rPr>
          <w:rFonts w:ascii="Times New Roman" w:hAnsi="Times New Roman" w:cs="Times New Roman"/>
          <w:sz w:val="24"/>
          <w:szCs w:val="24"/>
        </w:rPr>
        <w:t xml:space="preserve"> quadr</w:t>
      </w:r>
      <w:r w:rsidR="00061EBD">
        <w:rPr>
          <w:rFonts w:ascii="Times New Roman" w:hAnsi="Times New Roman" w:cs="Times New Roman"/>
          <w:sz w:val="24"/>
          <w:szCs w:val="24"/>
        </w:rPr>
        <w:t>u</w:t>
      </w:r>
      <w:r w:rsidR="003741E6" w:rsidRPr="003070D0">
        <w:rPr>
          <w:rFonts w:ascii="Times New Roman" w:hAnsi="Times New Roman" w:cs="Times New Roman"/>
          <w:sz w:val="24"/>
          <w:szCs w:val="24"/>
        </w:rPr>
        <w:t>pole moments. CO</w:t>
      </w:r>
      <w:r w:rsidR="003741E6" w:rsidRPr="003070D0">
        <w:rPr>
          <w:rFonts w:ascii="Times New Roman" w:hAnsi="Times New Roman" w:cs="Times New Roman"/>
          <w:sz w:val="24"/>
          <w:szCs w:val="24"/>
          <w:vertAlign w:val="subscript"/>
        </w:rPr>
        <w:t>2</w:t>
      </w:r>
      <w:r w:rsidR="003741E6" w:rsidRPr="003070D0">
        <w:rPr>
          <w:rFonts w:ascii="Times New Roman" w:hAnsi="Times New Roman" w:cs="Times New Roman"/>
          <w:sz w:val="24"/>
          <w:szCs w:val="24"/>
        </w:rPr>
        <w:t xml:space="preserve"> is quadrupolar and therefore can introduce polar behaviour into the desorption experiment</w:t>
      </w:r>
      <w:r w:rsidR="003741E6">
        <w:rPr>
          <w:rFonts w:ascii="Times New Roman" w:hAnsi="Times New Roman" w:cs="Times New Roman"/>
          <w:sz w:val="24"/>
          <w:szCs w:val="24"/>
        </w:rPr>
        <w:t>. This issue requires</w:t>
      </w:r>
      <w:r w:rsidR="003741E6" w:rsidRPr="003070D0">
        <w:rPr>
          <w:rFonts w:ascii="Times New Roman" w:hAnsi="Times New Roman" w:cs="Times New Roman"/>
          <w:sz w:val="24"/>
          <w:szCs w:val="24"/>
        </w:rPr>
        <w:t xml:space="preserve"> further </w:t>
      </w:r>
      <w:r w:rsidR="005227E5">
        <w:rPr>
          <w:rFonts w:ascii="Times New Roman" w:hAnsi="Times New Roman" w:cs="Times New Roman"/>
          <w:sz w:val="24"/>
          <w:szCs w:val="24"/>
        </w:rPr>
        <w:t>investigation</w:t>
      </w:r>
      <w:r w:rsidR="005227E5" w:rsidRPr="003070D0">
        <w:rPr>
          <w:rFonts w:ascii="Times New Roman" w:hAnsi="Times New Roman" w:cs="Times New Roman"/>
          <w:sz w:val="24"/>
          <w:szCs w:val="24"/>
        </w:rPr>
        <w:t xml:space="preserve"> </w:t>
      </w:r>
      <w:r w:rsidR="003741E6" w:rsidRPr="003070D0">
        <w:rPr>
          <w:rFonts w:ascii="Times New Roman" w:hAnsi="Times New Roman" w:cs="Times New Roman"/>
          <w:sz w:val="24"/>
          <w:szCs w:val="24"/>
        </w:rPr>
        <w:t>(Li et al., 20</w:t>
      </w:r>
      <w:r w:rsidR="003741E6">
        <w:rPr>
          <w:rFonts w:ascii="Times New Roman" w:hAnsi="Times New Roman" w:cs="Times New Roman"/>
          <w:sz w:val="24"/>
          <w:szCs w:val="24"/>
        </w:rPr>
        <w:t>09; Maryott and Birnbaum, 1962).</w:t>
      </w:r>
      <w:bookmarkStart w:id="13" w:name="_Toc320568480"/>
    </w:p>
    <w:p w14:paraId="1D96AD21" w14:textId="6F5E04EC" w:rsidR="003741E6" w:rsidRDefault="00702564" w:rsidP="000A6772">
      <w:pPr>
        <w:pStyle w:val="Heading2"/>
        <w:spacing w:line="240" w:lineRule="auto"/>
      </w:pPr>
      <w:r>
        <w:lastRenderedPageBreak/>
        <w:t xml:space="preserve">4. </w:t>
      </w:r>
      <w:r w:rsidR="003741E6" w:rsidRPr="009D5463">
        <w:t>Conclusion</w:t>
      </w:r>
      <w:bookmarkEnd w:id="13"/>
      <w:r w:rsidR="00BE1B0C" w:rsidRPr="009D5463">
        <w:t>s</w:t>
      </w:r>
    </w:p>
    <w:p w14:paraId="387C96E4" w14:textId="77777777" w:rsidR="009D5463" w:rsidRPr="000A6772" w:rsidRDefault="009D5463" w:rsidP="000A6772"/>
    <w:p w14:paraId="1EB582BF" w14:textId="77777777" w:rsidR="003741E6" w:rsidRDefault="003741E6" w:rsidP="00BE1B0C">
      <w:pPr>
        <w:spacing w:line="480" w:lineRule="auto"/>
        <w:jc w:val="both"/>
        <w:rPr>
          <w:rFonts w:ascii="Times New Roman" w:hAnsi="Times New Roman" w:cs="Times New Roman"/>
          <w:sz w:val="24"/>
          <w:szCs w:val="24"/>
        </w:rPr>
      </w:pPr>
      <w:r w:rsidRPr="003070D0">
        <w:rPr>
          <w:rFonts w:ascii="Times New Roman" w:hAnsi="Times New Roman" w:cs="Times New Roman"/>
          <w:sz w:val="24"/>
          <w:szCs w:val="24"/>
        </w:rPr>
        <w:t xml:space="preserve">In this work, </w:t>
      </w:r>
      <w:r w:rsidR="00923061">
        <w:rPr>
          <w:rFonts w:ascii="Times New Roman" w:hAnsi="Times New Roman" w:cs="Times New Roman"/>
          <w:sz w:val="24"/>
          <w:szCs w:val="24"/>
        </w:rPr>
        <w:t>indirect microwave regeneration (</w:t>
      </w:r>
      <w:r w:rsidRPr="003070D0">
        <w:rPr>
          <w:rFonts w:ascii="Times New Roman" w:hAnsi="Times New Roman" w:cs="Times New Roman"/>
          <w:sz w:val="24"/>
          <w:szCs w:val="24"/>
        </w:rPr>
        <w:t xml:space="preserve">water desorption </w:t>
      </w:r>
      <w:r>
        <w:rPr>
          <w:rFonts w:ascii="Times New Roman" w:hAnsi="Times New Roman" w:cs="Times New Roman"/>
          <w:sz w:val="24"/>
          <w:szCs w:val="24"/>
        </w:rPr>
        <w:t>followed</w:t>
      </w:r>
      <w:r w:rsidRPr="003070D0">
        <w:rPr>
          <w:rFonts w:ascii="Times New Roman" w:hAnsi="Times New Roman" w:cs="Times New Roman"/>
          <w:sz w:val="24"/>
          <w:szCs w:val="24"/>
        </w:rPr>
        <w:t xml:space="preserve"> </w:t>
      </w:r>
      <w:r>
        <w:rPr>
          <w:rFonts w:ascii="Times New Roman" w:hAnsi="Times New Roman" w:cs="Times New Roman"/>
          <w:sz w:val="24"/>
          <w:szCs w:val="24"/>
        </w:rPr>
        <w:t>by</w:t>
      </w:r>
      <w:r w:rsidRPr="003070D0">
        <w:rPr>
          <w:rFonts w:ascii="Times New Roman" w:hAnsi="Times New Roman" w:cs="Times New Roman"/>
          <w:sz w:val="24"/>
          <w:szCs w:val="24"/>
        </w:rPr>
        <w:t xml:space="preserve"> microwave drying</w:t>
      </w:r>
      <w:r w:rsidR="00923061">
        <w:rPr>
          <w:rFonts w:ascii="Times New Roman" w:hAnsi="Times New Roman" w:cs="Times New Roman"/>
          <w:sz w:val="24"/>
          <w:szCs w:val="24"/>
        </w:rPr>
        <w:t>)</w:t>
      </w:r>
      <w:r w:rsidRPr="003070D0">
        <w:rPr>
          <w:rFonts w:ascii="Times New Roman" w:hAnsi="Times New Roman" w:cs="Times New Roman"/>
          <w:sz w:val="24"/>
          <w:szCs w:val="24"/>
        </w:rPr>
        <w:t xml:space="preserve"> </w:t>
      </w:r>
      <w:r>
        <w:rPr>
          <w:rFonts w:ascii="Times New Roman" w:hAnsi="Times New Roman" w:cs="Times New Roman"/>
          <w:sz w:val="24"/>
          <w:szCs w:val="24"/>
        </w:rPr>
        <w:t>was</w:t>
      </w:r>
      <w:r w:rsidRPr="003070D0">
        <w:rPr>
          <w:rFonts w:ascii="Times New Roman" w:hAnsi="Times New Roman" w:cs="Times New Roman"/>
          <w:sz w:val="24"/>
          <w:szCs w:val="24"/>
        </w:rPr>
        <w:t xml:space="preserve"> studied and compared </w:t>
      </w:r>
      <w:r w:rsidR="00ED4B27">
        <w:rPr>
          <w:rFonts w:ascii="Times New Roman" w:hAnsi="Times New Roman" w:cs="Times New Roman"/>
          <w:sz w:val="24"/>
          <w:szCs w:val="24"/>
        </w:rPr>
        <w:t>to</w:t>
      </w:r>
      <w:r w:rsidR="00ED4B27" w:rsidRPr="003070D0">
        <w:rPr>
          <w:rFonts w:ascii="Times New Roman" w:hAnsi="Times New Roman" w:cs="Times New Roman"/>
          <w:sz w:val="24"/>
          <w:szCs w:val="24"/>
        </w:rPr>
        <w:t xml:space="preserve"> </w:t>
      </w:r>
      <w:r w:rsidR="00923061">
        <w:rPr>
          <w:rFonts w:ascii="Times New Roman" w:hAnsi="Times New Roman" w:cs="Times New Roman"/>
          <w:sz w:val="24"/>
          <w:szCs w:val="24"/>
        </w:rPr>
        <w:t>direct microwave regeneration (</w:t>
      </w:r>
      <w:r w:rsidR="00E33BC3">
        <w:rPr>
          <w:rFonts w:ascii="Times New Roman" w:hAnsi="Times New Roman" w:cs="Times New Roman"/>
          <w:sz w:val="24"/>
          <w:szCs w:val="24"/>
        </w:rPr>
        <w:t xml:space="preserve">constant power </w:t>
      </w:r>
      <w:r w:rsidRPr="003070D0">
        <w:rPr>
          <w:rFonts w:ascii="Times New Roman" w:hAnsi="Times New Roman" w:cs="Times New Roman"/>
          <w:sz w:val="24"/>
          <w:szCs w:val="24"/>
        </w:rPr>
        <w:t xml:space="preserve">microwave </w:t>
      </w:r>
      <w:r w:rsidR="00E33BC3">
        <w:rPr>
          <w:rFonts w:ascii="Times New Roman" w:hAnsi="Times New Roman" w:cs="Times New Roman"/>
          <w:sz w:val="24"/>
          <w:szCs w:val="24"/>
        </w:rPr>
        <w:t>regeneration</w:t>
      </w:r>
      <w:r w:rsidR="00923061">
        <w:rPr>
          <w:rFonts w:ascii="Times New Roman" w:hAnsi="Times New Roman" w:cs="Times New Roman"/>
          <w:sz w:val="24"/>
          <w:szCs w:val="24"/>
        </w:rPr>
        <w:t>)</w:t>
      </w:r>
      <w:r w:rsidR="00E33BC3">
        <w:rPr>
          <w:rFonts w:ascii="Times New Roman" w:hAnsi="Times New Roman" w:cs="Times New Roman"/>
          <w:sz w:val="24"/>
          <w:szCs w:val="24"/>
        </w:rPr>
        <w:t xml:space="preserve"> of </w:t>
      </w:r>
      <w:r w:rsidRPr="003070D0">
        <w:rPr>
          <w:rFonts w:ascii="Times New Roman" w:hAnsi="Times New Roman" w:cs="Times New Roman"/>
          <w:sz w:val="24"/>
          <w:szCs w:val="24"/>
        </w:rPr>
        <w:t>Na-ETS-10.</w:t>
      </w:r>
      <w:r w:rsidR="00CB3674">
        <w:rPr>
          <w:rFonts w:ascii="Times New Roman" w:hAnsi="Times New Roman" w:cs="Times New Roman"/>
          <w:sz w:val="24"/>
          <w:szCs w:val="24"/>
        </w:rPr>
        <w:t xml:space="preserve"> Based on five adsorption-regeneration cycles, d</w:t>
      </w:r>
      <w:r w:rsidR="00923061">
        <w:rPr>
          <w:rFonts w:ascii="Times New Roman" w:hAnsi="Times New Roman" w:cs="Times New Roman"/>
          <w:sz w:val="24"/>
          <w:szCs w:val="24"/>
        </w:rPr>
        <w:t xml:space="preserve">irect </w:t>
      </w:r>
      <w:r w:rsidR="00E33BC3">
        <w:rPr>
          <w:rFonts w:ascii="Times New Roman" w:hAnsi="Times New Roman" w:cs="Times New Roman"/>
          <w:sz w:val="24"/>
          <w:szCs w:val="24"/>
        </w:rPr>
        <w:t>microwa</w:t>
      </w:r>
      <w:r w:rsidR="00BB2BC0">
        <w:rPr>
          <w:rFonts w:ascii="Times New Roman" w:hAnsi="Times New Roman" w:cs="Times New Roman"/>
          <w:sz w:val="24"/>
          <w:szCs w:val="24"/>
        </w:rPr>
        <w:t>v</w:t>
      </w:r>
      <w:r w:rsidR="00E33BC3">
        <w:rPr>
          <w:rFonts w:ascii="Times New Roman" w:hAnsi="Times New Roman" w:cs="Times New Roman"/>
          <w:sz w:val="24"/>
          <w:szCs w:val="24"/>
        </w:rPr>
        <w:t xml:space="preserve">e </w:t>
      </w:r>
      <w:r w:rsidR="00E33BC3" w:rsidRPr="00E33BC3">
        <w:rPr>
          <w:rFonts w:ascii="Times New Roman" w:hAnsi="Times New Roman" w:cs="Times New Roman"/>
          <w:sz w:val="24"/>
          <w:szCs w:val="24"/>
        </w:rPr>
        <w:t xml:space="preserve">regeneration </w:t>
      </w:r>
      <w:r w:rsidR="00E33BC3">
        <w:rPr>
          <w:rFonts w:ascii="Times New Roman" w:hAnsi="Times New Roman" w:cs="Times New Roman"/>
          <w:sz w:val="24"/>
          <w:szCs w:val="24"/>
        </w:rPr>
        <w:t xml:space="preserve">achieved </w:t>
      </w:r>
      <w:r w:rsidR="00CB3674">
        <w:rPr>
          <w:rFonts w:ascii="Times New Roman" w:hAnsi="Times New Roman" w:cs="Times New Roman"/>
          <w:sz w:val="24"/>
          <w:szCs w:val="24"/>
        </w:rPr>
        <w:t>on average 22</w:t>
      </w:r>
      <w:r w:rsidR="001B332C">
        <w:rPr>
          <w:rFonts w:ascii="Times New Roman" w:hAnsi="Times New Roman" w:cs="Times New Roman"/>
          <w:sz w:val="24"/>
          <w:szCs w:val="24"/>
        </w:rPr>
        <w:t xml:space="preserve"> </w:t>
      </w:r>
      <w:r w:rsidR="00CB3674">
        <w:rPr>
          <w:rFonts w:ascii="Times New Roman" w:hAnsi="Times New Roman" w:cs="Times New Roman"/>
          <w:sz w:val="24"/>
          <w:szCs w:val="24"/>
        </w:rPr>
        <w:t xml:space="preserve">% higher swing capacity, and 24 % </w:t>
      </w:r>
      <w:r w:rsidR="00E33BC3">
        <w:rPr>
          <w:rFonts w:ascii="Times New Roman" w:hAnsi="Times New Roman" w:cs="Times New Roman"/>
          <w:sz w:val="24"/>
          <w:szCs w:val="24"/>
        </w:rPr>
        <w:t>highe</w:t>
      </w:r>
      <w:r w:rsidR="005D21F6">
        <w:rPr>
          <w:rFonts w:ascii="Times New Roman" w:hAnsi="Times New Roman" w:cs="Times New Roman"/>
          <w:sz w:val="24"/>
          <w:szCs w:val="24"/>
        </w:rPr>
        <w:t>r</w:t>
      </w:r>
      <w:r w:rsidR="00E33BC3">
        <w:rPr>
          <w:rFonts w:ascii="Times New Roman" w:hAnsi="Times New Roman" w:cs="Times New Roman"/>
          <w:sz w:val="24"/>
          <w:szCs w:val="24"/>
        </w:rPr>
        <w:t xml:space="preserve"> gas recovery</w:t>
      </w:r>
      <w:r w:rsidR="00CB3674" w:rsidRPr="00CB3674">
        <w:rPr>
          <w:rFonts w:ascii="Times New Roman" w:hAnsi="Times New Roman" w:cs="Times New Roman"/>
          <w:sz w:val="24"/>
          <w:szCs w:val="24"/>
        </w:rPr>
        <w:t xml:space="preserve"> </w:t>
      </w:r>
      <w:r w:rsidR="00CB3674">
        <w:rPr>
          <w:rFonts w:ascii="Times New Roman" w:hAnsi="Times New Roman" w:cs="Times New Roman"/>
          <w:sz w:val="24"/>
          <w:szCs w:val="24"/>
        </w:rPr>
        <w:t>compared to indirect microwave regeneration</w:t>
      </w:r>
      <w:r w:rsidR="00E33BC3">
        <w:rPr>
          <w:rFonts w:ascii="Times New Roman" w:hAnsi="Times New Roman" w:cs="Times New Roman"/>
          <w:sz w:val="24"/>
          <w:szCs w:val="24"/>
        </w:rPr>
        <w:t xml:space="preserve">. </w:t>
      </w:r>
      <w:r w:rsidR="00CB3674">
        <w:rPr>
          <w:rFonts w:ascii="Times New Roman" w:hAnsi="Times New Roman" w:cs="Times New Roman"/>
          <w:sz w:val="24"/>
          <w:szCs w:val="24"/>
        </w:rPr>
        <w:t xml:space="preserve">The energy consumption per mole of gas desorbed was on average 16.6 times larger for indirect microwave regeneration compared to direct microwave regeneration. </w:t>
      </w:r>
      <w:r w:rsidR="009D5463">
        <w:rPr>
          <w:rFonts w:ascii="Times New Roman" w:hAnsi="Times New Roman" w:cs="Times New Roman"/>
          <w:sz w:val="24"/>
          <w:szCs w:val="24"/>
        </w:rPr>
        <w:t>Indirect microwave regeneration</w:t>
      </w:r>
      <w:r w:rsidR="005D21F6">
        <w:rPr>
          <w:rFonts w:ascii="Times New Roman" w:hAnsi="Times New Roman" w:cs="Times New Roman"/>
          <w:sz w:val="24"/>
          <w:szCs w:val="24"/>
        </w:rPr>
        <w:t xml:space="preserve"> </w:t>
      </w:r>
      <w:r w:rsidR="009D5463">
        <w:rPr>
          <w:rFonts w:ascii="Times New Roman" w:hAnsi="Times New Roman" w:cs="Times New Roman"/>
          <w:sz w:val="24"/>
          <w:szCs w:val="24"/>
        </w:rPr>
        <w:t xml:space="preserve">was found to be </w:t>
      </w:r>
      <w:r w:rsidR="009D5463" w:rsidRPr="003070D0">
        <w:rPr>
          <w:rFonts w:ascii="Times New Roman" w:hAnsi="Times New Roman" w:cs="Times New Roman"/>
          <w:sz w:val="24"/>
          <w:szCs w:val="24"/>
        </w:rPr>
        <w:t>energy</w:t>
      </w:r>
      <w:r w:rsidR="009D5463">
        <w:rPr>
          <w:rFonts w:ascii="Times New Roman" w:hAnsi="Times New Roman" w:cs="Times New Roman"/>
          <w:sz w:val="24"/>
          <w:szCs w:val="24"/>
        </w:rPr>
        <w:t>-</w:t>
      </w:r>
      <w:r w:rsidR="009D5463" w:rsidRPr="003070D0">
        <w:rPr>
          <w:rFonts w:ascii="Times New Roman" w:hAnsi="Times New Roman" w:cs="Times New Roman"/>
          <w:sz w:val="24"/>
          <w:szCs w:val="24"/>
        </w:rPr>
        <w:t xml:space="preserve">intensive </w:t>
      </w:r>
      <w:r w:rsidR="005D21F6">
        <w:rPr>
          <w:rFonts w:ascii="Times New Roman" w:hAnsi="Times New Roman" w:cs="Times New Roman"/>
          <w:sz w:val="24"/>
          <w:szCs w:val="24"/>
        </w:rPr>
        <w:t xml:space="preserve">most likely due to </w:t>
      </w:r>
      <w:r w:rsidR="009D5463">
        <w:rPr>
          <w:rFonts w:ascii="Times New Roman" w:hAnsi="Times New Roman" w:cs="Times New Roman"/>
          <w:sz w:val="24"/>
          <w:szCs w:val="24"/>
        </w:rPr>
        <w:t xml:space="preserve">the </w:t>
      </w:r>
      <w:r w:rsidR="005D21F6">
        <w:rPr>
          <w:rFonts w:ascii="Times New Roman" w:hAnsi="Times New Roman" w:cs="Times New Roman"/>
          <w:sz w:val="24"/>
          <w:szCs w:val="24"/>
        </w:rPr>
        <w:t>high adsorption capacity and heat of adsorption</w:t>
      </w:r>
      <w:r w:rsidR="009D5463">
        <w:rPr>
          <w:rFonts w:ascii="Times New Roman" w:hAnsi="Times New Roman" w:cs="Times New Roman"/>
          <w:sz w:val="24"/>
          <w:szCs w:val="24"/>
        </w:rPr>
        <w:t xml:space="preserve"> of water</w:t>
      </w:r>
      <w:r w:rsidR="005D21F6" w:rsidRPr="005D21F6">
        <w:rPr>
          <w:rFonts w:ascii="Times New Roman" w:hAnsi="Times New Roman" w:cs="Times New Roman"/>
          <w:sz w:val="24"/>
          <w:szCs w:val="24"/>
        </w:rPr>
        <w:t xml:space="preserve">. </w:t>
      </w:r>
      <w:r w:rsidR="000647D4">
        <w:rPr>
          <w:rFonts w:ascii="Times New Roman" w:hAnsi="Times New Roman" w:cs="Times New Roman"/>
          <w:sz w:val="24"/>
          <w:szCs w:val="24"/>
        </w:rPr>
        <w:t xml:space="preserve">The results from this study are important because they provide </w:t>
      </w:r>
      <w:r w:rsidR="009D5463">
        <w:rPr>
          <w:rFonts w:ascii="Times New Roman" w:hAnsi="Times New Roman" w:cs="Times New Roman"/>
          <w:sz w:val="24"/>
          <w:szCs w:val="24"/>
        </w:rPr>
        <w:t xml:space="preserve">a </w:t>
      </w:r>
      <w:r w:rsidR="000647D4">
        <w:rPr>
          <w:rFonts w:ascii="Times New Roman" w:hAnsi="Times New Roman" w:cs="Times New Roman"/>
          <w:sz w:val="24"/>
          <w:szCs w:val="24"/>
        </w:rPr>
        <w:t xml:space="preserve">quantitative assessment of the performance of potential techniques for </w:t>
      </w:r>
      <w:r w:rsidR="000647D4" w:rsidRPr="000647D4">
        <w:rPr>
          <w:rFonts w:ascii="Times New Roman" w:hAnsi="Times New Roman" w:cs="Times New Roman"/>
          <w:sz w:val="24"/>
          <w:szCs w:val="24"/>
        </w:rPr>
        <w:t xml:space="preserve">regeneration </w:t>
      </w:r>
      <w:r w:rsidR="000647D4">
        <w:rPr>
          <w:rFonts w:ascii="Times New Roman" w:hAnsi="Times New Roman" w:cs="Times New Roman"/>
          <w:sz w:val="24"/>
          <w:szCs w:val="24"/>
        </w:rPr>
        <w:t xml:space="preserve">of Na-ETS-10. </w:t>
      </w:r>
    </w:p>
    <w:p w14:paraId="34658BAA" w14:textId="77777777" w:rsidR="00BE1B0C" w:rsidRDefault="00BE1B0C" w:rsidP="000A6772">
      <w:bookmarkStart w:id="14" w:name="_Toc320568481"/>
    </w:p>
    <w:p w14:paraId="36ABCE07" w14:textId="77777777" w:rsidR="003741E6" w:rsidRPr="003614D5" w:rsidRDefault="003741E6" w:rsidP="003614D5">
      <w:pPr>
        <w:pStyle w:val="Heading2"/>
      </w:pPr>
      <w:r w:rsidRPr="00F630D0">
        <w:t>Acknowledgement</w:t>
      </w:r>
      <w:bookmarkEnd w:id="14"/>
    </w:p>
    <w:p w14:paraId="780BB124" w14:textId="77777777" w:rsidR="003741E6" w:rsidRPr="003070D0" w:rsidRDefault="003741E6" w:rsidP="00BE1B0C">
      <w:pPr>
        <w:spacing w:line="480" w:lineRule="auto"/>
        <w:jc w:val="both"/>
        <w:rPr>
          <w:rFonts w:ascii="Times New Roman" w:hAnsi="Times New Roman" w:cs="Times New Roman"/>
          <w:sz w:val="24"/>
          <w:szCs w:val="24"/>
        </w:rPr>
      </w:pPr>
      <w:r>
        <w:rPr>
          <w:rFonts w:ascii="Times New Roman" w:hAnsi="Times New Roman" w:cs="Times New Roman"/>
          <w:sz w:val="24"/>
          <w:szCs w:val="24"/>
        </w:rPr>
        <w:t>The f</w:t>
      </w:r>
      <w:r w:rsidRPr="003070D0">
        <w:rPr>
          <w:rFonts w:ascii="Times New Roman" w:hAnsi="Times New Roman" w:cs="Times New Roman"/>
          <w:sz w:val="24"/>
          <w:szCs w:val="24"/>
        </w:rPr>
        <w:t xml:space="preserve">inancial support </w:t>
      </w:r>
      <w:r>
        <w:rPr>
          <w:rFonts w:ascii="Times New Roman" w:hAnsi="Times New Roman" w:cs="Times New Roman"/>
          <w:sz w:val="24"/>
          <w:szCs w:val="24"/>
        </w:rPr>
        <w:t xml:space="preserve">received </w:t>
      </w:r>
      <w:r w:rsidRPr="003070D0">
        <w:rPr>
          <w:rFonts w:ascii="Times New Roman" w:hAnsi="Times New Roman" w:cs="Times New Roman"/>
          <w:sz w:val="24"/>
          <w:szCs w:val="24"/>
        </w:rPr>
        <w:t xml:space="preserve">for </w:t>
      </w:r>
      <w:r>
        <w:rPr>
          <w:rFonts w:ascii="Times New Roman" w:hAnsi="Times New Roman" w:cs="Times New Roman"/>
          <w:sz w:val="24"/>
          <w:szCs w:val="24"/>
        </w:rPr>
        <w:t xml:space="preserve">this </w:t>
      </w:r>
      <w:r w:rsidRPr="003070D0">
        <w:rPr>
          <w:rFonts w:ascii="Times New Roman" w:hAnsi="Times New Roman" w:cs="Times New Roman"/>
          <w:sz w:val="24"/>
          <w:szCs w:val="24"/>
        </w:rPr>
        <w:t xml:space="preserve">research from the Natural Science and Engineering Research Council (NSERC) of Canada, the Canada School of Energy and Environment, and the Helmholtz-Alberta Initiative (HAI), Nova Chemicals is acknowledged. Thanks to Pooya Shariaty for assistance during experiments and to Wu Lan for sample preparation. Finally, the support of an infrastructure grants from </w:t>
      </w:r>
      <w:r>
        <w:rPr>
          <w:rFonts w:ascii="Times New Roman" w:hAnsi="Times New Roman" w:cs="Times New Roman"/>
          <w:sz w:val="24"/>
          <w:szCs w:val="24"/>
        </w:rPr>
        <w:t xml:space="preserve">the </w:t>
      </w:r>
      <w:r w:rsidRPr="003070D0">
        <w:rPr>
          <w:rFonts w:ascii="Times New Roman" w:hAnsi="Times New Roman" w:cs="Times New Roman"/>
          <w:sz w:val="24"/>
          <w:szCs w:val="24"/>
        </w:rPr>
        <w:t xml:space="preserve">Canada Foundation for Innovation (CFI), and Alberta Advanced Education and Technology is gratefully acknowledged. </w:t>
      </w:r>
    </w:p>
    <w:p w14:paraId="7397A0AB" w14:textId="77777777" w:rsidR="003741E6" w:rsidRDefault="003741E6" w:rsidP="00BE1B0C">
      <w:pPr>
        <w:spacing w:line="480" w:lineRule="auto"/>
        <w:jc w:val="both"/>
        <w:rPr>
          <w:rFonts w:ascii="Times New Roman" w:hAnsi="Times New Roman" w:cs="Times New Roman"/>
          <w:sz w:val="24"/>
          <w:szCs w:val="24"/>
        </w:rPr>
      </w:pPr>
    </w:p>
    <w:p w14:paraId="1AFBC439" w14:textId="77777777" w:rsidR="001B332C" w:rsidRPr="003070D0" w:rsidRDefault="001B332C" w:rsidP="00BE1B0C">
      <w:pPr>
        <w:spacing w:line="480" w:lineRule="auto"/>
        <w:jc w:val="both"/>
        <w:rPr>
          <w:rFonts w:ascii="Times New Roman" w:hAnsi="Times New Roman" w:cs="Times New Roman"/>
          <w:sz w:val="24"/>
          <w:szCs w:val="24"/>
        </w:rPr>
      </w:pPr>
    </w:p>
    <w:p w14:paraId="47A37B2D" w14:textId="77777777" w:rsidR="003741E6" w:rsidRPr="003070D0" w:rsidRDefault="003741E6" w:rsidP="00BE1B0C">
      <w:pPr>
        <w:pStyle w:val="Heading2"/>
      </w:pPr>
      <w:bookmarkStart w:id="15" w:name="_Toc320568482"/>
      <w:r w:rsidRPr="003070D0">
        <w:lastRenderedPageBreak/>
        <w:t>References</w:t>
      </w:r>
      <w:bookmarkEnd w:id="15"/>
    </w:p>
    <w:p w14:paraId="65B9373A" w14:textId="77777777" w:rsidR="003741E6" w:rsidRPr="003070D0" w:rsidRDefault="003741E6" w:rsidP="00BE1B0C">
      <w:pPr>
        <w:spacing w:line="480" w:lineRule="auto"/>
        <w:rPr>
          <w:rFonts w:ascii="Times New Roman" w:hAnsi="Times New Roman" w:cs="Times New Roman"/>
        </w:rPr>
      </w:pPr>
    </w:p>
    <w:p w14:paraId="0D8889A9"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Anderson, M.W., Terasaki, O., Ohsuna, T., Philippou, A., Mackay, S.P., Ferreira, A., Rocha, J., Lidin, S., 1994. Structure of the microporous titanosilicate ETS-10. Nature 367, 347-351</w:t>
      </w:r>
      <w:r w:rsidR="003614D5" w:rsidRPr="00F80A39">
        <w:rPr>
          <w:rFonts w:ascii="Times New Roman" w:hAnsi="Times New Roman" w:cs="Times New Roman"/>
          <w:sz w:val="24"/>
          <w:szCs w:val="24"/>
        </w:rPr>
        <w:t>.</w:t>
      </w:r>
    </w:p>
    <w:p w14:paraId="4A15C6DA"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Anson, A., Lin, C.C.H., Kuznicki, S.M., Sawada, J.A., 2009. Adsorption of carbon dioxide, ethane, and methane on titanosilicate type molecular sieves. Chemical Engineering Science 64, 3683-3687.</w:t>
      </w:r>
    </w:p>
    <w:p w14:paraId="407A6459"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Anson, A., Wang, Y., Lin, C., Kuznicki, T.M., Kuznicki, S.M., 2008. Adsorption of ethane and ethylene on modified ETS-10. Chemical Engineering Science 63, 4171-4175.</w:t>
      </w:r>
    </w:p>
    <w:p w14:paraId="32688B4A"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Bykov, Yu.V., Rybakov, K.I., Semenov, V.E., 2001. High temperature microwave processing of materials. Journal of </w:t>
      </w:r>
      <w:r w:rsidR="00D23FBD" w:rsidRPr="00F80A39">
        <w:rPr>
          <w:rFonts w:ascii="Times New Roman" w:hAnsi="Times New Roman" w:cs="Times New Roman"/>
          <w:sz w:val="24"/>
          <w:szCs w:val="24"/>
        </w:rPr>
        <w:t xml:space="preserve">Physics </w:t>
      </w:r>
      <w:r w:rsidRPr="00F80A39">
        <w:rPr>
          <w:rFonts w:ascii="Times New Roman" w:hAnsi="Times New Roman" w:cs="Times New Roman"/>
          <w:sz w:val="24"/>
          <w:szCs w:val="24"/>
        </w:rPr>
        <w:t xml:space="preserve">D: Applied </w:t>
      </w:r>
      <w:r w:rsidR="00D23FBD" w:rsidRPr="00F80A39">
        <w:rPr>
          <w:rFonts w:ascii="Times New Roman" w:hAnsi="Times New Roman" w:cs="Times New Roman"/>
          <w:sz w:val="24"/>
          <w:szCs w:val="24"/>
        </w:rPr>
        <w:t xml:space="preserve">Physics </w:t>
      </w:r>
      <w:r w:rsidRPr="00F80A39">
        <w:rPr>
          <w:rFonts w:ascii="Times New Roman" w:hAnsi="Times New Roman" w:cs="Times New Roman"/>
          <w:sz w:val="24"/>
          <w:szCs w:val="24"/>
        </w:rPr>
        <w:t>34, 55-65.</w:t>
      </w:r>
    </w:p>
    <w:p w14:paraId="6FB4715E"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Cavenati, S., Grande, C.A., Rodrigues, A.E., 2004. Adsorption</w:t>
      </w:r>
      <w:r w:rsidR="00D23FBD" w:rsidRPr="00F80A39">
        <w:rPr>
          <w:rFonts w:ascii="Times New Roman" w:hAnsi="Times New Roman" w:cs="Times New Roman"/>
          <w:sz w:val="24"/>
          <w:szCs w:val="24"/>
        </w:rPr>
        <w:t xml:space="preserve"> equilibrium of methane, carbon dioxide, and nitrogen on zeolite </w:t>
      </w:r>
      <w:r w:rsidRPr="00F80A39">
        <w:rPr>
          <w:rFonts w:ascii="Times New Roman" w:hAnsi="Times New Roman" w:cs="Times New Roman"/>
          <w:sz w:val="24"/>
          <w:szCs w:val="24"/>
        </w:rPr>
        <w:t xml:space="preserve">13X at </w:t>
      </w:r>
      <w:r w:rsidR="00D23FBD" w:rsidRPr="00F80A39">
        <w:rPr>
          <w:rFonts w:ascii="Times New Roman" w:hAnsi="Times New Roman" w:cs="Times New Roman"/>
          <w:sz w:val="24"/>
          <w:szCs w:val="24"/>
        </w:rPr>
        <w:t>high pressures</w:t>
      </w:r>
      <w:r w:rsidRPr="00F80A39">
        <w:rPr>
          <w:rFonts w:ascii="Times New Roman" w:hAnsi="Times New Roman" w:cs="Times New Roman"/>
          <w:sz w:val="24"/>
          <w:szCs w:val="24"/>
        </w:rPr>
        <w:t>. Journal of Chemical and Engineering Data 49, 1095-1101.</w:t>
      </w:r>
    </w:p>
    <w:p w14:paraId="786E1B08"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Cha, C.Y., Carlisle, C.T., 2001. Microwave process for volatile organic compound abatement. Journal of Air and Waste Management Association 51, 628-1641.</w:t>
      </w:r>
    </w:p>
    <w:p w14:paraId="24BB0FF1" w14:textId="77777777" w:rsidR="00542A46" w:rsidRPr="00F80A39" w:rsidRDefault="00542A46" w:rsidP="00542A46">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Choudhary, V., Mayadevi, S., Singh, A.P., 1995. Sorption Isotherms of Methane, Ethane, Ethene on NaX, NaY and Na-mordenite Zeolites, Journal of the Chemical Society, Faraday Transactions 91(17), 2935-2944.  </w:t>
      </w:r>
    </w:p>
    <w:p w14:paraId="330FF3B9" w14:textId="77777777" w:rsidR="00B92177" w:rsidRPr="00F80A39" w:rsidRDefault="00B92177"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Chowdhury, T., Shi, M., Hashisho, Z., Sawada, J.A., Kuznicki, S.M., 2012. Regeneration of Na-ETS-10 using microwave and conductive heating. Chemical Engineering Science 75, 282-288.</w:t>
      </w:r>
    </w:p>
    <w:p w14:paraId="0605D6C1"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lastRenderedPageBreak/>
        <w:t xml:space="preserve">Das, S., Mukhopadhyay, A., Datta, S., Basu, D., 2009. Prospects </w:t>
      </w:r>
      <w:r w:rsidR="00D23FBD" w:rsidRPr="00F80A39">
        <w:rPr>
          <w:rFonts w:ascii="Times New Roman" w:hAnsi="Times New Roman" w:cs="Times New Roman"/>
          <w:sz w:val="24"/>
          <w:szCs w:val="24"/>
        </w:rPr>
        <w:t>of microwave proces</w:t>
      </w:r>
      <w:r w:rsidRPr="00F80A39">
        <w:rPr>
          <w:rFonts w:ascii="Times New Roman" w:hAnsi="Times New Roman" w:cs="Times New Roman"/>
          <w:sz w:val="24"/>
          <w:szCs w:val="24"/>
        </w:rPr>
        <w:t xml:space="preserve">sing: An </w:t>
      </w:r>
      <w:r w:rsidR="00D23FBD" w:rsidRPr="00F80A39">
        <w:rPr>
          <w:rFonts w:ascii="Times New Roman" w:hAnsi="Times New Roman" w:cs="Times New Roman"/>
          <w:sz w:val="24"/>
          <w:szCs w:val="24"/>
        </w:rPr>
        <w:t>overview</w:t>
      </w:r>
      <w:r w:rsidRPr="00F80A39">
        <w:rPr>
          <w:rFonts w:ascii="Times New Roman" w:hAnsi="Times New Roman" w:cs="Times New Roman"/>
          <w:sz w:val="24"/>
          <w:szCs w:val="24"/>
        </w:rPr>
        <w:t>. Bulletin of Material Science 32, 1-13.</w:t>
      </w:r>
    </w:p>
    <w:p w14:paraId="290C55B9"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Eldrige, R.B., 1993. Olefin/parafin separation technology: A review. Industrial and Engineering Chemistry research 32, 2208-2212.</w:t>
      </w:r>
    </w:p>
    <w:p w14:paraId="5941691B"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Emamipour, H., Hashisho, Z., Cevallos, D., Rood, M.J., Thurston, D.L., Hay, J., Kim, B.J., Sullivan, P.D., 2007. Steady state and dynamic desorption of organic vapor from activated carbon with electrothermal swing adsorption. Environmental Science and Technology 41, 5063-5069.</w:t>
      </w:r>
    </w:p>
    <w:p w14:paraId="3D6A14EA" w14:textId="77777777" w:rsidR="003D3C8D" w:rsidRPr="00F80A39" w:rsidRDefault="003D3C8D"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Hash</w:t>
      </w:r>
      <w:r w:rsidR="00D23FBD" w:rsidRPr="00F80A39">
        <w:rPr>
          <w:rFonts w:ascii="Times New Roman" w:hAnsi="Times New Roman" w:cs="Times New Roman"/>
          <w:sz w:val="24"/>
          <w:szCs w:val="24"/>
        </w:rPr>
        <w:t>i</w:t>
      </w:r>
      <w:r w:rsidRPr="00F80A39">
        <w:rPr>
          <w:rFonts w:ascii="Times New Roman" w:hAnsi="Times New Roman" w:cs="Times New Roman"/>
          <w:sz w:val="24"/>
          <w:szCs w:val="24"/>
        </w:rPr>
        <w:t>sho, Z., Rood, M., Botich L., 2005. Microwave swing adsorption to capture and recover vapors from air streams with activated carbon fiber cloth. Environmental Science and Technology 39, 6851-6859.</w:t>
      </w:r>
    </w:p>
    <w:p w14:paraId="29B12243"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Hashisho, Z., Emamipour, H., Cevallos, D., Rood, M., Hay, K., Kim, B., 2007. Rapid Response Concentration-controlled desorption of Activated carbon to dampen concentration fluctuations. Environmental Science and Technology 41, 1753-1758.</w:t>
      </w:r>
    </w:p>
    <w:p w14:paraId="0B7C223C" w14:textId="77777777" w:rsidR="00727B4C"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Hashisho, Z., Emamipour, H., Hay, K., Kim, B.,</w:t>
      </w:r>
      <w:r w:rsidR="00D23FBD" w:rsidRPr="00F80A39">
        <w:rPr>
          <w:rFonts w:ascii="Times New Roman" w:hAnsi="Times New Roman" w:cs="Times New Roman"/>
          <w:sz w:val="24"/>
          <w:szCs w:val="24"/>
        </w:rPr>
        <w:t xml:space="preserve"> </w:t>
      </w:r>
      <w:r w:rsidRPr="00F80A39">
        <w:rPr>
          <w:rFonts w:ascii="Times New Roman" w:hAnsi="Times New Roman" w:cs="Times New Roman"/>
          <w:sz w:val="24"/>
          <w:szCs w:val="24"/>
        </w:rPr>
        <w:t>Thurston, D., 2008. Concomitant adsorption and desorption of organic vapor in dry and humid air stream using microwave and direct electrothermal swing adsorption. Environmental Science and Technology 42, 9317-9322.</w:t>
      </w:r>
    </w:p>
    <w:p w14:paraId="343A0C9F"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Kim, K., Kim, Y., Jeong, W., Park, N., Jeong, S., Ahn, H., 2007. Adsorption-desorption characteristics of volatile organic compounds over various zeolites and their regeneration by microwave irradiation. Studies in Surface Science and Catalysis 165, 223-226.</w:t>
      </w:r>
    </w:p>
    <w:p w14:paraId="32030BC6"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lastRenderedPageBreak/>
        <w:t xml:space="preserve">Kim, S., Aida, T., Niiyama, H., 2005. Binary adsorption of very low concentration ethylene and watervapor on mordenites and desorption by microwave heating. </w:t>
      </w:r>
      <w:r w:rsidR="00D23FBD" w:rsidRPr="00F80A39">
        <w:rPr>
          <w:rFonts w:ascii="Times New Roman" w:hAnsi="Times New Roman" w:cs="Times New Roman"/>
          <w:sz w:val="24"/>
          <w:szCs w:val="24"/>
        </w:rPr>
        <w:t>Separation</w:t>
      </w:r>
      <w:r w:rsidRPr="00F80A39">
        <w:rPr>
          <w:rFonts w:ascii="Times New Roman" w:hAnsi="Times New Roman" w:cs="Times New Roman"/>
          <w:sz w:val="24"/>
          <w:szCs w:val="24"/>
        </w:rPr>
        <w:t xml:space="preserve"> and Purification Technology 45, 174-182.</w:t>
      </w:r>
    </w:p>
    <w:p w14:paraId="39E786DE"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Kuznicki, S. M., 1991. Large pored crystalline titanium molecular sieve zeolites. US Patent No. 5011591.</w:t>
      </w:r>
    </w:p>
    <w:p w14:paraId="022DC79F"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Li, J.R., Kuppler, R.J., Zhou, H.C., 2009. Selective gas adsorption and separation in metal-organic frameworks. Chemical Society Review 38, 1477-1504.</w:t>
      </w:r>
    </w:p>
    <w:p w14:paraId="314FD17D"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Maryott, A.A., Birnbaum, G., 1962. Collision induced microwave absorption in compressed gases.</w:t>
      </w:r>
      <w:r w:rsidR="00D23FBD" w:rsidRPr="00F80A39">
        <w:rPr>
          <w:rFonts w:ascii="Times New Roman" w:hAnsi="Times New Roman" w:cs="Times New Roman"/>
          <w:sz w:val="24"/>
          <w:szCs w:val="24"/>
        </w:rPr>
        <w:t xml:space="preserve"> </w:t>
      </w:r>
      <w:r w:rsidRPr="00F80A39">
        <w:rPr>
          <w:rFonts w:ascii="Times New Roman" w:hAnsi="Times New Roman" w:cs="Times New Roman"/>
          <w:sz w:val="24"/>
          <w:szCs w:val="24"/>
        </w:rPr>
        <w:t>I. Dependence on density, temperature and frequency in CO</w:t>
      </w:r>
      <w:r w:rsidRPr="00F80A39">
        <w:rPr>
          <w:rFonts w:ascii="Times New Roman" w:hAnsi="Times New Roman" w:cs="Times New Roman"/>
          <w:sz w:val="24"/>
          <w:szCs w:val="24"/>
          <w:vertAlign w:val="subscript"/>
        </w:rPr>
        <w:t>2</w:t>
      </w:r>
      <w:r w:rsidRPr="00F80A39">
        <w:rPr>
          <w:rFonts w:ascii="Times New Roman" w:hAnsi="Times New Roman" w:cs="Times New Roman"/>
          <w:sz w:val="24"/>
          <w:szCs w:val="24"/>
        </w:rPr>
        <w:t>. Journal of Chemical Physics 36, 2026-2032.</w:t>
      </w:r>
    </w:p>
    <w:p w14:paraId="5E248120"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noProof/>
          <w:sz w:val="24"/>
          <w:szCs w:val="24"/>
        </w:rPr>
        <w:t xml:space="preserve">Meredith, R.J., 1998. </w:t>
      </w:r>
      <w:r w:rsidRPr="00F80A39">
        <w:rPr>
          <w:rFonts w:ascii="Times New Roman" w:hAnsi="Times New Roman" w:cs="Times New Roman"/>
          <w:iCs/>
          <w:noProof/>
          <w:sz w:val="24"/>
          <w:szCs w:val="24"/>
        </w:rPr>
        <w:t>Engineer's handbook of industrial microwave heating, first ed. The Institution of Electrical Engineers,</w:t>
      </w:r>
      <w:r w:rsidRPr="00F80A39">
        <w:rPr>
          <w:rFonts w:ascii="Times New Roman" w:hAnsi="Times New Roman" w:cs="Times New Roman"/>
          <w:noProof/>
          <w:sz w:val="24"/>
          <w:szCs w:val="24"/>
        </w:rPr>
        <w:t xml:space="preserve"> London.</w:t>
      </w:r>
    </w:p>
    <w:p w14:paraId="397A9BDE"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 xml:space="preserve">Michael, D., Mingos, P., Baghurst, D.R., 1991. Applications of microwave dielectric </w:t>
      </w:r>
      <w:r w:rsidR="00D23FBD" w:rsidRPr="00F80A39">
        <w:rPr>
          <w:rFonts w:ascii="Times New Roman" w:hAnsi="Times New Roman" w:cs="Times New Roman"/>
          <w:sz w:val="24"/>
          <w:szCs w:val="24"/>
        </w:rPr>
        <w:t>heating</w:t>
      </w:r>
      <w:r w:rsidRPr="00F80A39">
        <w:rPr>
          <w:rFonts w:ascii="Times New Roman" w:hAnsi="Times New Roman" w:cs="Times New Roman"/>
          <w:sz w:val="24"/>
          <w:szCs w:val="24"/>
        </w:rPr>
        <w:t xml:space="preserve"> effects to synthetic problems in chemistry. Chemical Society Review 20, 1-47.</w:t>
      </w:r>
    </w:p>
    <w:p w14:paraId="2FBA5510"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Ohgushi, T., Nagae, M., 2005. Durability of zeolite against repeated activation treatments with microwave heating. Journal of Porous Materials 12, 265-271.</w:t>
      </w:r>
    </w:p>
    <w:p w14:paraId="1A5E103F"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Ohgushi, T., Nagae, M., 2003. Quick activation of optimized zeolites with microwave heating and utilization of zeolites for reusable dessicants. Journal of Porous Materials 10, 139-143.</w:t>
      </w:r>
    </w:p>
    <w:p w14:paraId="25A1F4AA"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Ohgushi, T., Komarneni, S., Bhalla, A.S. 2001. Mechanism of microwave heating of zeolite A. Journal of Porous Materials 8, 23-35.</w:t>
      </w:r>
    </w:p>
    <w:p w14:paraId="5133E4F0"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lastRenderedPageBreak/>
        <w:t>Polaert, I., Estel, L., Huyghe, L., Thomas, M., 2010. Adsorbents regeneration under microwave irradiation for dehydration and volatile organic compounds gas treatment. Chemical Engineering Journal 162, 941-948.</w:t>
      </w:r>
    </w:p>
    <w:p w14:paraId="4EE2BA75"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Polaert, I., Ledoux, A., Huyghe, R., Thomas, M., 2007. Microwave assisted regeneration of zeolite. International Journal of Chemical Reactor Engineering 5, 1-10.</w:t>
      </w:r>
    </w:p>
    <w:p w14:paraId="6B17EA3A"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Reuβ, J., Bathen, D., Schmidt-Traub, H., 2002. Desorption by Microwaves:</w:t>
      </w:r>
      <w:r w:rsidR="00D23FBD" w:rsidRPr="00F80A39">
        <w:rPr>
          <w:rFonts w:ascii="Times New Roman" w:hAnsi="Times New Roman" w:cs="Times New Roman"/>
          <w:sz w:val="24"/>
          <w:szCs w:val="24"/>
        </w:rPr>
        <w:t xml:space="preserve"> </w:t>
      </w:r>
      <w:r w:rsidRPr="00F80A39">
        <w:rPr>
          <w:rFonts w:ascii="Times New Roman" w:hAnsi="Times New Roman" w:cs="Times New Roman"/>
          <w:sz w:val="24"/>
          <w:szCs w:val="24"/>
        </w:rPr>
        <w:t xml:space="preserve">Mechanism of </w:t>
      </w:r>
      <w:r w:rsidR="00D23FBD" w:rsidRPr="00F80A39">
        <w:rPr>
          <w:rFonts w:ascii="Times New Roman" w:hAnsi="Times New Roman" w:cs="Times New Roman"/>
          <w:sz w:val="24"/>
          <w:szCs w:val="24"/>
        </w:rPr>
        <w:t>Multicomponent</w:t>
      </w:r>
      <w:r w:rsidRPr="00F80A39">
        <w:rPr>
          <w:rFonts w:ascii="Times New Roman" w:hAnsi="Times New Roman" w:cs="Times New Roman"/>
          <w:sz w:val="24"/>
          <w:szCs w:val="24"/>
        </w:rPr>
        <w:t xml:space="preserve"> Mixtures. Chemical Engineering and Technology 25, 381-384.</w:t>
      </w:r>
    </w:p>
    <w:p w14:paraId="0F81971A"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Roussy, G., Chenot, P., 1981. Selective energy supply to adsorbed water and non-classical thermal process during microwave dehydration of zeolite. Journal of Physical Chemistry 85, 2199-2203.</w:t>
      </w:r>
    </w:p>
    <w:p w14:paraId="798E86CD" w14:textId="77777777" w:rsidR="003741E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Shi, M., Lin, C.C.H., Kuznicki, T.M., Hashisho, Z., Kuznicki, S.M., 2010. Separation of binary mixture of ethylene and ethane by adsorption on Na-ETS-10. Chemical Engineering Science 65, 3494-3498.</w:t>
      </w:r>
    </w:p>
    <w:p w14:paraId="6BD655D0" w14:textId="77777777" w:rsidR="007F7926" w:rsidRPr="00F80A39" w:rsidRDefault="003741E6" w:rsidP="00BE1B0C">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Turner, M.D., Laurence, R.L., Conner, W.C., Yngvesson, K.S., 2000. Microwave radiation's influence on sorption and competitive sorption in zeolites. AIChE Journal 46, 758-768.</w:t>
      </w:r>
    </w:p>
    <w:p w14:paraId="4AF9C91F" w14:textId="77777777" w:rsidR="00840A30" w:rsidRPr="00983FF9" w:rsidRDefault="00840A30" w:rsidP="00840A30">
      <w:pPr>
        <w:spacing w:line="480" w:lineRule="auto"/>
        <w:jc w:val="both"/>
        <w:rPr>
          <w:rFonts w:ascii="Times New Roman" w:hAnsi="Times New Roman" w:cs="Times New Roman"/>
          <w:sz w:val="24"/>
          <w:szCs w:val="24"/>
        </w:rPr>
      </w:pPr>
      <w:r w:rsidRPr="00F80A39">
        <w:rPr>
          <w:rFonts w:ascii="Times New Roman" w:hAnsi="Times New Roman" w:cs="Times New Roman"/>
          <w:sz w:val="24"/>
          <w:szCs w:val="24"/>
        </w:rPr>
        <w:t>Walton, K.S., Abney, M.B., LeVan, D.M., 2006. CO</w:t>
      </w:r>
      <w:r w:rsidRPr="00F80A39">
        <w:rPr>
          <w:rFonts w:ascii="Times New Roman" w:hAnsi="Times New Roman" w:cs="Times New Roman"/>
          <w:sz w:val="24"/>
          <w:szCs w:val="24"/>
          <w:vertAlign w:val="subscript"/>
        </w:rPr>
        <w:t>2</w:t>
      </w:r>
      <w:r w:rsidRPr="00F80A39">
        <w:rPr>
          <w:rFonts w:ascii="Times New Roman" w:hAnsi="Times New Roman" w:cs="Times New Roman"/>
          <w:sz w:val="24"/>
          <w:szCs w:val="24"/>
        </w:rPr>
        <w:t xml:space="preserve"> adsorption in Y and X zeolites modified by alkali metal cation exchange,  Microporous and Mesoporous Materials 91(1-3), 78–84</w:t>
      </w:r>
      <w:bookmarkStart w:id="16" w:name="_GoBack"/>
      <w:bookmarkEnd w:id="16"/>
    </w:p>
    <w:p w14:paraId="45F7589F" w14:textId="77777777" w:rsidR="00840A30" w:rsidRPr="00BE1B0C" w:rsidRDefault="00840A30" w:rsidP="00BE1B0C">
      <w:pPr>
        <w:spacing w:line="480" w:lineRule="auto"/>
        <w:jc w:val="both"/>
        <w:rPr>
          <w:rFonts w:ascii="Times New Roman" w:hAnsi="Times New Roman" w:cs="Times New Roman"/>
          <w:sz w:val="24"/>
          <w:szCs w:val="24"/>
        </w:rPr>
      </w:pPr>
    </w:p>
    <w:sectPr w:rsidR="00840A30" w:rsidRPr="00BE1B0C" w:rsidSect="00D323ED">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E0AE95B" w14:textId="77777777" w:rsidR="00A159A7" w:rsidRDefault="00A159A7" w:rsidP="00103846">
      <w:pPr>
        <w:spacing w:after="0" w:line="240" w:lineRule="auto"/>
      </w:pPr>
      <w:r>
        <w:separator/>
      </w:r>
    </w:p>
  </w:endnote>
  <w:endnote w:type="continuationSeparator" w:id="0">
    <w:p w14:paraId="6AC9E8E2" w14:textId="77777777" w:rsidR="00A159A7" w:rsidRDefault="00A159A7" w:rsidP="0010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226532"/>
      <w:docPartObj>
        <w:docPartGallery w:val="Page Numbers (Bottom of Page)"/>
        <w:docPartUnique/>
      </w:docPartObj>
    </w:sdtPr>
    <w:sdtEndPr/>
    <w:sdtContent>
      <w:p w14:paraId="4B087906" w14:textId="77777777" w:rsidR="00A159A7" w:rsidRPr="00F630D0" w:rsidRDefault="00A159A7">
        <w:pPr>
          <w:pStyle w:val="Footer"/>
          <w:jc w:val="center"/>
          <w:rPr>
            <w:rFonts w:ascii="Times New Roman" w:hAnsi="Times New Roman" w:cs="Times New Roman"/>
            <w:sz w:val="24"/>
            <w:szCs w:val="24"/>
          </w:rPr>
        </w:pPr>
        <w:r w:rsidRPr="00F630D0">
          <w:rPr>
            <w:rFonts w:ascii="Times New Roman" w:hAnsi="Times New Roman" w:cs="Times New Roman"/>
            <w:sz w:val="24"/>
            <w:szCs w:val="24"/>
          </w:rPr>
          <w:fldChar w:fldCharType="begin"/>
        </w:r>
        <w:r w:rsidRPr="00F630D0">
          <w:rPr>
            <w:rFonts w:ascii="Times New Roman" w:hAnsi="Times New Roman" w:cs="Times New Roman"/>
            <w:sz w:val="24"/>
            <w:szCs w:val="24"/>
          </w:rPr>
          <w:instrText xml:space="preserve"> PAGE   \* MERGEFORMAT </w:instrText>
        </w:r>
        <w:r w:rsidRPr="00F630D0">
          <w:rPr>
            <w:rFonts w:ascii="Times New Roman" w:hAnsi="Times New Roman" w:cs="Times New Roman"/>
            <w:sz w:val="24"/>
            <w:szCs w:val="24"/>
          </w:rPr>
          <w:fldChar w:fldCharType="separate"/>
        </w:r>
        <w:r w:rsidR="00F80A39">
          <w:rPr>
            <w:rFonts w:ascii="Times New Roman" w:hAnsi="Times New Roman" w:cs="Times New Roman"/>
            <w:noProof/>
            <w:sz w:val="24"/>
            <w:szCs w:val="24"/>
          </w:rPr>
          <w:t>22</w:t>
        </w:r>
        <w:r w:rsidRPr="00F630D0">
          <w:rPr>
            <w:rFonts w:ascii="Times New Roman" w:hAnsi="Times New Roman" w:cs="Times New Roman"/>
            <w:sz w:val="24"/>
            <w:szCs w:val="24"/>
          </w:rPr>
          <w:fldChar w:fldCharType="end"/>
        </w:r>
      </w:p>
    </w:sdtContent>
  </w:sdt>
  <w:p w14:paraId="1F17B8FE" w14:textId="77777777" w:rsidR="00A159A7" w:rsidRDefault="00A159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130B87F" w14:textId="77777777" w:rsidR="00A159A7" w:rsidRDefault="00A159A7" w:rsidP="00103846">
      <w:pPr>
        <w:spacing w:after="0" w:line="240" w:lineRule="auto"/>
      </w:pPr>
      <w:r>
        <w:separator/>
      </w:r>
    </w:p>
  </w:footnote>
  <w:footnote w:type="continuationSeparator" w:id="0">
    <w:p w14:paraId="0C7FA8F3" w14:textId="77777777" w:rsidR="00A159A7" w:rsidRDefault="00A159A7" w:rsidP="00103846">
      <w:pPr>
        <w:spacing w:after="0" w:line="240" w:lineRule="auto"/>
      </w:pPr>
      <w:r>
        <w:continuationSeparator/>
      </w:r>
    </w:p>
  </w:footnote>
  <w:footnote w:id="1">
    <w:p w14:paraId="14FB4799" w14:textId="77777777" w:rsidR="00A159A7" w:rsidRPr="00383E14" w:rsidRDefault="00A159A7" w:rsidP="00AE72F2">
      <w:pPr>
        <w:pStyle w:val="FootnoteText"/>
        <w:rPr>
          <w:rFonts w:ascii="Times New Roman" w:hAnsi="Times New Roman" w:cs="Times New Roman"/>
          <w:lang w:val="en-US"/>
        </w:rPr>
      </w:pPr>
      <w:r w:rsidRPr="00383E14">
        <w:rPr>
          <w:rStyle w:val="FootnoteReference"/>
          <w:rFonts w:ascii="Times New Roman" w:hAnsi="Times New Roman" w:cs="Times New Roman"/>
        </w:rPr>
        <w:footnoteRef/>
      </w:r>
      <w:r w:rsidRPr="00383E14">
        <w:rPr>
          <w:rFonts w:ascii="Times New Roman" w:hAnsi="Times New Roman" w:cs="Times New Roman"/>
        </w:rPr>
        <w:t xml:space="preserve"> </w:t>
      </w:r>
      <w:r w:rsidRPr="00383E14">
        <w:rPr>
          <w:rFonts w:ascii="Times New Roman" w:hAnsi="Times New Roman" w:cs="Times New Roman"/>
          <w:lang w:val="en-US"/>
        </w:rPr>
        <w:t>Corresponding author. Tel.: +1-780-</w:t>
      </w:r>
      <w:r>
        <w:rPr>
          <w:rFonts w:ascii="Times New Roman" w:hAnsi="Times New Roman" w:cs="Times New Roman"/>
          <w:lang w:val="en-US"/>
        </w:rPr>
        <w:t>492-0247; fax: +1-780-492-0249</w:t>
      </w:r>
    </w:p>
    <w:p w14:paraId="06F67115" w14:textId="77777777" w:rsidR="00A159A7" w:rsidRPr="00383E14" w:rsidRDefault="00A159A7" w:rsidP="00AE72F2">
      <w:pPr>
        <w:pStyle w:val="FootnoteText"/>
        <w:rPr>
          <w:lang w:val="en-US"/>
        </w:rPr>
      </w:pPr>
      <w:r w:rsidRPr="00383E14">
        <w:rPr>
          <w:rFonts w:ascii="Times New Roman" w:hAnsi="Times New Roman" w:cs="Times New Roman"/>
          <w:lang w:val="en-US"/>
        </w:rPr>
        <w:t xml:space="preserve">E-mail address: </w:t>
      </w:r>
      <w:hyperlink r:id="rId1" w:history="1">
        <w:r w:rsidRPr="009D6182">
          <w:rPr>
            <w:rStyle w:val="Hyperlink"/>
            <w:rFonts w:ascii="Times New Roman" w:hAnsi="Times New Roman" w:cs="Times New Roman"/>
            <w:lang w:val="en-US"/>
          </w:rPr>
          <w:t>hashisho@ualberta.ca</w:t>
        </w:r>
      </w:hyperlink>
      <w:r>
        <w:rPr>
          <w:rFonts w:ascii="Times New Roman" w:hAnsi="Times New Roman" w:cs="Times New Roman"/>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E6"/>
    <w:rsid w:val="000263D5"/>
    <w:rsid w:val="00026B68"/>
    <w:rsid w:val="00030DD8"/>
    <w:rsid w:val="00036225"/>
    <w:rsid w:val="00040453"/>
    <w:rsid w:val="00060954"/>
    <w:rsid w:val="000619F6"/>
    <w:rsid w:val="00061EBD"/>
    <w:rsid w:val="000647D4"/>
    <w:rsid w:val="000704B8"/>
    <w:rsid w:val="00075DDF"/>
    <w:rsid w:val="00081E59"/>
    <w:rsid w:val="00084DC1"/>
    <w:rsid w:val="0008501C"/>
    <w:rsid w:val="00094245"/>
    <w:rsid w:val="000A292D"/>
    <w:rsid w:val="000A6772"/>
    <w:rsid w:val="000C44C7"/>
    <w:rsid w:val="000C52BB"/>
    <w:rsid w:val="000D55C2"/>
    <w:rsid w:val="000D5718"/>
    <w:rsid w:val="000D77CF"/>
    <w:rsid w:val="00103846"/>
    <w:rsid w:val="00112315"/>
    <w:rsid w:val="00121E91"/>
    <w:rsid w:val="001222D9"/>
    <w:rsid w:val="00144F8D"/>
    <w:rsid w:val="00157BA8"/>
    <w:rsid w:val="00176174"/>
    <w:rsid w:val="00176D69"/>
    <w:rsid w:val="001820C3"/>
    <w:rsid w:val="00194312"/>
    <w:rsid w:val="001B332C"/>
    <w:rsid w:val="001C1889"/>
    <w:rsid w:val="001D4722"/>
    <w:rsid w:val="001E265E"/>
    <w:rsid w:val="001F1A25"/>
    <w:rsid w:val="00200281"/>
    <w:rsid w:val="00210392"/>
    <w:rsid w:val="00217834"/>
    <w:rsid w:val="0021792C"/>
    <w:rsid w:val="002276C8"/>
    <w:rsid w:val="002341F0"/>
    <w:rsid w:val="00235B34"/>
    <w:rsid w:val="00257FD7"/>
    <w:rsid w:val="00277CF2"/>
    <w:rsid w:val="00280DB6"/>
    <w:rsid w:val="00293245"/>
    <w:rsid w:val="00293523"/>
    <w:rsid w:val="0029392F"/>
    <w:rsid w:val="00293C40"/>
    <w:rsid w:val="00297223"/>
    <w:rsid w:val="002A18DA"/>
    <w:rsid w:val="002C0267"/>
    <w:rsid w:val="002C0E35"/>
    <w:rsid w:val="002E24B7"/>
    <w:rsid w:val="002E4B57"/>
    <w:rsid w:val="002E71C2"/>
    <w:rsid w:val="002F074A"/>
    <w:rsid w:val="002F1BDC"/>
    <w:rsid w:val="003267B8"/>
    <w:rsid w:val="00341314"/>
    <w:rsid w:val="00342501"/>
    <w:rsid w:val="00351426"/>
    <w:rsid w:val="00352532"/>
    <w:rsid w:val="00353A20"/>
    <w:rsid w:val="003559F4"/>
    <w:rsid w:val="003564F8"/>
    <w:rsid w:val="00357FB2"/>
    <w:rsid w:val="003614D5"/>
    <w:rsid w:val="003631D8"/>
    <w:rsid w:val="0036375F"/>
    <w:rsid w:val="003741E6"/>
    <w:rsid w:val="0037572D"/>
    <w:rsid w:val="00391A8E"/>
    <w:rsid w:val="003A5C01"/>
    <w:rsid w:val="003C0039"/>
    <w:rsid w:val="003C59C5"/>
    <w:rsid w:val="003D3C8D"/>
    <w:rsid w:val="003E2365"/>
    <w:rsid w:val="003F76DF"/>
    <w:rsid w:val="004060F3"/>
    <w:rsid w:val="004307C7"/>
    <w:rsid w:val="004574E4"/>
    <w:rsid w:val="00472CBF"/>
    <w:rsid w:val="0048363A"/>
    <w:rsid w:val="0048444B"/>
    <w:rsid w:val="00487E36"/>
    <w:rsid w:val="004903FA"/>
    <w:rsid w:val="004B49BD"/>
    <w:rsid w:val="004C0948"/>
    <w:rsid w:val="004C1ACD"/>
    <w:rsid w:val="004D353D"/>
    <w:rsid w:val="004E7448"/>
    <w:rsid w:val="004F5FF0"/>
    <w:rsid w:val="00511873"/>
    <w:rsid w:val="00520476"/>
    <w:rsid w:val="005227E5"/>
    <w:rsid w:val="00542A46"/>
    <w:rsid w:val="005567BF"/>
    <w:rsid w:val="005569C1"/>
    <w:rsid w:val="00562B5B"/>
    <w:rsid w:val="00571EAA"/>
    <w:rsid w:val="00573425"/>
    <w:rsid w:val="00584255"/>
    <w:rsid w:val="005A0AA9"/>
    <w:rsid w:val="005B0A95"/>
    <w:rsid w:val="005B143C"/>
    <w:rsid w:val="005D21F6"/>
    <w:rsid w:val="005D2E62"/>
    <w:rsid w:val="005E1E4E"/>
    <w:rsid w:val="00606A00"/>
    <w:rsid w:val="006105AC"/>
    <w:rsid w:val="00616DB0"/>
    <w:rsid w:val="00616DFB"/>
    <w:rsid w:val="00630B5C"/>
    <w:rsid w:val="0066610D"/>
    <w:rsid w:val="00676ACC"/>
    <w:rsid w:val="00685B01"/>
    <w:rsid w:val="00691745"/>
    <w:rsid w:val="00694A9D"/>
    <w:rsid w:val="006A2496"/>
    <w:rsid w:val="006A38C8"/>
    <w:rsid w:val="006B737A"/>
    <w:rsid w:val="006B764D"/>
    <w:rsid w:val="006C0D9C"/>
    <w:rsid w:val="006D72D1"/>
    <w:rsid w:val="006F05F9"/>
    <w:rsid w:val="006F339D"/>
    <w:rsid w:val="00702564"/>
    <w:rsid w:val="00717162"/>
    <w:rsid w:val="00727B4C"/>
    <w:rsid w:val="00743913"/>
    <w:rsid w:val="007551D5"/>
    <w:rsid w:val="00787D14"/>
    <w:rsid w:val="0079009C"/>
    <w:rsid w:val="00790CAC"/>
    <w:rsid w:val="007C32AC"/>
    <w:rsid w:val="007E3C27"/>
    <w:rsid w:val="007E5648"/>
    <w:rsid w:val="007F7926"/>
    <w:rsid w:val="00804901"/>
    <w:rsid w:val="0080552B"/>
    <w:rsid w:val="00811F57"/>
    <w:rsid w:val="00815F19"/>
    <w:rsid w:val="00840581"/>
    <w:rsid w:val="00840A30"/>
    <w:rsid w:val="00864087"/>
    <w:rsid w:val="008958D6"/>
    <w:rsid w:val="00896049"/>
    <w:rsid w:val="008B0F11"/>
    <w:rsid w:val="008C11A8"/>
    <w:rsid w:val="008C4F4A"/>
    <w:rsid w:val="008C747D"/>
    <w:rsid w:val="008E1A0C"/>
    <w:rsid w:val="008F7F87"/>
    <w:rsid w:val="00907C55"/>
    <w:rsid w:val="00913A9F"/>
    <w:rsid w:val="00923061"/>
    <w:rsid w:val="00926D10"/>
    <w:rsid w:val="0093660F"/>
    <w:rsid w:val="0094040F"/>
    <w:rsid w:val="00940CB7"/>
    <w:rsid w:val="009453F0"/>
    <w:rsid w:val="009557F5"/>
    <w:rsid w:val="0095787C"/>
    <w:rsid w:val="00961614"/>
    <w:rsid w:val="009617ED"/>
    <w:rsid w:val="009867A7"/>
    <w:rsid w:val="009906A1"/>
    <w:rsid w:val="00995921"/>
    <w:rsid w:val="009C3B04"/>
    <w:rsid w:val="009C54D5"/>
    <w:rsid w:val="009D3427"/>
    <w:rsid w:val="009D5463"/>
    <w:rsid w:val="009D7678"/>
    <w:rsid w:val="009F5C35"/>
    <w:rsid w:val="00A07927"/>
    <w:rsid w:val="00A159A7"/>
    <w:rsid w:val="00A21CD1"/>
    <w:rsid w:val="00A36FB1"/>
    <w:rsid w:val="00A37423"/>
    <w:rsid w:val="00A376FA"/>
    <w:rsid w:val="00A40191"/>
    <w:rsid w:val="00A41802"/>
    <w:rsid w:val="00A420D3"/>
    <w:rsid w:val="00A44329"/>
    <w:rsid w:val="00A509AA"/>
    <w:rsid w:val="00A81613"/>
    <w:rsid w:val="00A87066"/>
    <w:rsid w:val="00A95527"/>
    <w:rsid w:val="00AA3F32"/>
    <w:rsid w:val="00AB7623"/>
    <w:rsid w:val="00AD0B84"/>
    <w:rsid w:val="00AD44E5"/>
    <w:rsid w:val="00AE72F2"/>
    <w:rsid w:val="00AF1B59"/>
    <w:rsid w:val="00AF6C48"/>
    <w:rsid w:val="00B00BFB"/>
    <w:rsid w:val="00B11C79"/>
    <w:rsid w:val="00B13051"/>
    <w:rsid w:val="00B23FFD"/>
    <w:rsid w:val="00B6754D"/>
    <w:rsid w:val="00B841E3"/>
    <w:rsid w:val="00B84DF3"/>
    <w:rsid w:val="00B92177"/>
    <w:rsid w:val="00B94762"/>
    <w:rsid w:val="00BA6913"/>
    <w:rsid w:val="00BB149B"/>
    <w:rsid w:val="00BB2BC0"/>
    <w:rsid w:val="00BB5CDA"/>
    <w:rsid w:val="00BB5E53"/>
    <w:rsid w:val="00BC1944"/>
    <w:rsid w:val="00BC31F2"/>
    <w:rsid w:val="00BE1B0C"/>
    <w:rsid w:val="00BF5059"/>
    <w:rsid w:val="00C22986"/>
    <w:rsid w:val="00C41D00"/>
    <w:rsid w:val="00C44886"/>
    <w:rsid w:val="00C4678B"/>
    <w:rsid w:val="00C7784D"/>
    <w:rsid w:val="00C80E52"/>
    <w:rsid w:val="00C91305"/>
    <w:rsid w:val="00CB3674"/>
    <w:rsid w:val="00CB4BB8"/>
    <w:rsid w:val="00CB7048"/>
    <w:rsid w:val="00CC4C70"/>
    <w:rsid w:val="00CD140E"/>
    <w:rsid w:val="00CF2F39"/>
    <w:rsid w:val="00D23F47"/>
    <w:rsid w:val="00D23FBD"/>
    <w:rsid w:val="00D30747"/>
    <w:rsid w:val="00D323ED"/>
    <w:rsid w:val="00D45E27"/>
    <w:rsid w:val="00D6109A"/>
    <w:rsid w:val="00D61D69"/>
    <w:rsid w:val="00D65DAB"/>
    <w:rsid w:val="00D721B3"/>
    <w:rsid w:val="00D8252C"/>
    <w:rsid w:val="00D84ACA"/>
    <w:rsid w:val="00D84E17"/>
    <w:rsid w:val="00D91F4A"/>
    <w:rsid w:val="00D93DEA"/>
    <w:rsid w:val="00D945BD"/>
    <w:rsid w:val="00DB1D5B"/>
    <w:rsid w:val="00DB355F"/>
    <w:rsid w:val="00DB590E"/>
    <w:rsid w:val="00DD54FE"/>
    <w:rsid w:val="00DD70ED"/>
    <w:rsid w:val="00DD72AC"/>
    <w:rsid w:val="00DE455B"/>
    <w:rsid w:val="00DE4678"/>
    <w:rsid w:val="00DE6791"/>
    <w:rsid w:val="00E028A0"/>
    <w:rsid w:val="00E33BC3"/>
    <w:rsid w:val="00E47D19"/>
    <w:rsid w:val="00E67473"/>
    <w:rsid w:val="00E739CD"/>
    <w:rsid w:val="00E74E5F"/>
    <w:rsid w:val="00E75E1C"/>
    <w:rsid w:val="00E76D40"/>
    <w:rsid w:val="00E80BFC"/>
    <w:rsid w:val="00E84F32"/>
    <w:rsid w:val="00EA3D7B"/>
    <w:rsid w:val="00EB69BA"/>
    <w:rsid w:val="00ED01A1"/>
    <w:rsid w:val="00ED4B27"/>
    <w:rsid w:val="00EE06BA"/>
    <w:rsid w:val="00F02B74"/>
    <w:rsid w:val="00F064BB"/>
    <w:rsid w:val="00F078DA"/>
    <w:rsid w:val="00F1172F"/>
    <w:rsid w:val="00F118F2"/>
    <w:rsid w:val="00F15E51"/>
    <w:rsid w:val="00F3051D"/>
    <w:rsid w:val="00F3189F"/>
    <w:rsid w:val="00F44034"/>
    <w:rsid w:val="00F554C2"/>
    <w:rsid w:val="00F57A4E"/>
    <w:rsid w:val="00F63EAA"/>
    <w:rsid w:val="00F80A39"/>
    <w:rsid w:val="00F87047"/>
    <w:rsid w:val="00F905A4"/>
    <w:rsid w:val="00F90767"/>
    <w:rsid w:val="00F94B7F"/>
    <w:rsid w:val="00FA751E"/>
    <w:rsid w:val="00FB0691"/>
    <w:rsid w:val="00FD065C"/>
    <w:rsid w:val="00FD4DC7"/>
    <w:rsid w:val="00FF6C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D84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41E6"/>
    <w:pPr>
      <w:keepNext/>
      <w:keepLines/>
      <w:spacing w:before="100" w:beforeAutospacing="1" w:after="0" w:line="480" w:lineRule="auto"/>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3741E6"/>
    <w:pPr>
      <w:keepNext/>
      <w:keepLines/>
      <w:spacing w:before="200" w:after="0" w:line="480" w:lineRule="auto"/>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3741E6"/>
    <w:pPr>
      <w:keepNext/>
      <w:keepLines/>
      <w:spacing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741E6"/>
    <w:pPr>
      <w:keepNext/>
      <w:keepLines/>
      <w:spacing w:before="100" w:beforeAutospacing="1" w:after="0" w:line="480"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105AC"/>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val="0"/>
        <w:bCs/>
      </w:rPr>
      <w:tblPr/>
      <w:tcPr>
        <w:tcBorders>
          <w:top w:val="nil"/>
          <w:left w:val="nil"/>
          <w:bottom w:val="single" w:sz="4" w:space="0" w:color="auto"/>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741E6"/>
    <w:rPr>
      <w:rFonts w:ascii="Times New Roman" w:eastAsiaTheme="majorEastAsia" w:hAnsi="Times New Roman" w:cstheme="majorBidi"/>
      <w:b/>
      <w:bCs/>
      <w:sz w:val="28"/>
      <w:szCs w:val="28"/>
      <w:lang w:eastAsia="en-CA"/>
    </w:rPr>
  </w:style>
  <w:style w:type="character" w:customStyle="1" w:styleId="Heading2Char">
    <w:name w:val="Heading 2 Char"/>
    <w:basedOn w:val="DefaultParagraphFont"/>
    <w:link w:val="Heading2"/>
    <w:uiPriority w:val="9"/>
    <w:rsid w:val="003741E6"/>
    <w:rPr>
      <w:rFonts w:ascii="Times New Roman" w:eastAsiaTheme="majorEastAsia" w:hAnsi="Times New Roman" w:cstheme="majorBidi"/>
      <w:b/>
      <w:bCs/>
      <w:sz w:val="26"/>
      <w:szCs w:val="26"/>
      <w:lang w:eastAsia="en-CA"/>
    </w:rPr>
  </w:style>
  <w:style w:type="character" w:customStyle="1" w:styleId="Heading3Char">
    <w:name w:val="Heading 3 Char"/>
    <w:basedOn w:val="DefaultParagraphFont"/>
    <w:link w:val="Heading3"/>
    <w:uiPriority w:val="9"/>
    <w:rsid w:val="003741E6"/>
    <w:rPr>
      <w:rFonts w:ascii="Times New Roman" w:eastAsiaTheme="majorEastAsia" w:hAnsi="Times New Roman" w:cstheme="majorBidi"/>
      <w:b/>
      <w:bCs/>
      <w:sz w:val="24"/>
      <w:lang w:eastAsia="en-CA"/>
    </w:rPr>
  </w:style>
  <w:style w:type="character" w:customStyle="1" w:styleId="Heading4Char">
    <w:name w:val="Heading 4 Char"/>
    <w:basedOn w:val="DefaultParagraphFont"/>
    <w:link w:val="Heading4"/>
    <w:uiPriority w:val="9"/>
    <w:rsid w:val="003741E6"/>
    <w:rPr>
      <w:rFonts w:ascii="Times New Roman" w:eastAsiaTheme="majorEastAsia" w:hAnsi="Times New Roman" w:cstheme="majorBidi"/>
      <w:b/>
      <w:bCs/>
      <w:iCs/>
      <w:sz w:val="24"/>
      <w:lang w:eastAsia="en-CA"/>
    </w:rPr>
  </w:style>
  <w:style w:type="table" w:customStyle="1" w:styleId="LightShading1">
    <w:name w:val="Light Shading1"/>
    <w:basedOn w:val="TableNormal"/>
    <w:uiPriority w:val="60"/>
    <w:rsid w:val="003741E6"/>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val="0"/>
        <w:bCs/>
      </w:rPr>
      <w:tblPr/>
      <w:tcPr>
        <w:tcBorders>
          <w:top w:val="nil"/>
          <w:left w:val="nil"/>
          <w:bottom w:val="single" w:sz="4" w:space="0" w:color="auto"/>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7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E6"/>
    <w:rPr>
      <w:rFonts w:ascii="Tahoma" w:eastAsiaTheme="minorEastAsia" w:hAnsi="Tahoma" w:cs="Tahoma"/>
      <w:sz w:val="16"/>
      <w:szCs w:val="16"/>
      <w:lang w:eastAsia="en-CA"/>
    </w:rPr>
  </w:style>
  <w:style w:type="table" w:styleId="TableGrid">
    <w:name w:val="Table Grid"/>
    <w:basedOn w:val="TableNormal"/>
    <w:uiPriority w:val="59"/>
    <w:rsid w:val="003741E6"/>
    <w:pPr>
      <w:spacing w:after="0" w:line="240" w:lineRule="auto"/>
    </w:pPr>
    <w:rPr>
      <w:rFonts w:ascii="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i w:val="0"/>
        <w:sz w:val="24"/>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Bibliography">
    <w:name w:val="Bibliography"/>
    <w:basedOn w:val="Normal"/>
    <w:next w:val="Normal"/>
    <w:uiPriority w:val="37"/>
    <w:unhideWhenUsed/>
    <w:rsid w:val="003741E6"/>
  </w:style>
  <w:style w:type="paragraph" w:styleId="Header">
    <w:name w:val="header"/>
    <w:basedOn w:val="Normal"/>
    <w:link w:val="HeaderChar"/>
    <w:uiPriority w:val="99"/>
    <w:unhideWhenUsed/>
    <w:rsid w:val="0037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1E6"/>
    <w:rPr>
      <w:rFonts w:eastAsiaTheme="minorEastAsia"/>
      <w:lang w:eastAsia="en-CA"/>
    </w:rPr>
  </w:style>
  <w:style w:type="paragraph" w:styleId="Footer">
    <w:name w:val="footer"/>
    <w:basedOn w:val="Normal"/>
    <w:link w:val="FooterChar"/>
    <w:uiPriority w:val="99"/>
    <w:unhideWhenUsed/>
    <w:rsid w:val="0037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1E6"/>
    <w:rPr>
      <w:rFonts w:eastAsiaTheme="minorEastAsia"/>
      <w:lang w:eastAsia="en-CA"/>
    </w:rPr>
  </w:style>
  <w:style w:type="paragraph" w:styleId="Caption">
    <w:name w:val="caption"/>
    <w:basedOn w:val="Normal"/>
    <w:next w:val="Normal"/>
    <w:uiPriority w:val="35"/>
    <w:unhideWhenUsed/>
    <w:qFormat/>
    <w:rsid w:val="003741E6"/>
    <w:pPr>
      <w:spacing w:line="240" w:lineRule="auto"/>
    </w:pPr>
    <w:rPr>
      <w:b/>
      <w:bCs/>
      <w:color w:val="4F81BD" w:themeColor="accent1"/>
      <w:sz w:val="18"/>
      <w:szCs w:val="18"/>
    </w:rPr>
  </w:style>
  <w:style w:type="character" w:styleId="PlaceholderText">
    <w:name w:val="Placeholder Text"/>
    <w:basedOn w:val="DefaultParagraphFont"/>
    <w:uiPriority w:val="99"/>
    <w:semiHidden/>
    <w:rsid w:val="003741E6"/>
    <w:rPr>
      <w:color w:val="808080"/>
    </w:rPr>
  </w:style>
  <w:style w:type="paragraph" w:styleId="FootnoteText">
    <w:name w:val="footnote text"/>
    <w:basedOn w:val="Normal"/>
    <w:link w:val="FootnoteTextChar"/>
    <w:uiPriority w:val="99"/>
    <w:unhideWhenUsed/>
    <w:rsid w:val="003741E6"/>
    <w:pPr>
      <w:spacing w:after="0" w:line="240" w:lineRule="auto"/>
    </w:pPr>
    <w:rPr>
      <w:sz w:val="20"/>
      <w:szCs w:val="20"/>
    </w:rPr>
  </w:style>
  <w:style w:type="character" w:customStyle="1" w:styleId="FootnoteTextChar">
    <w:name w:val="Footnote Text Char"/>
    <w:basedOn w:val="DefaultParagraphFont"/>
    <w:link w:val="FootnoteText"/>
    <w:uiPriority w:val="99"/>
    <w:rsid w:val="003741E6"/>
    <w:rPr>
      <w:rFonts w:eastAsiaTheme="minorEastAsia"/>
      <w:sz w:val="20"/>
      <w:szCs w:val="20"/>
      <w:lang w:eastAsia="en-CA"/>
    </w:rPr>
  </w:style>
  <w:style w:type="character" w:styleId="FootnoteReference">
    <w:name w:val="footnote reference"/>
    <w:basedOn w:val="DefaultParagraphFont"/>
    <w:uiPriority w:val="99"/>
    <w:semiHidden/>
    <w:unhideWhenUsed/>
    <w:rsid w:val="003741E6"/>
    <w:rPr>
      <w:vertAlign w:val="superscript"/>
    </w:rPr>
  </w:style>
  <w:style w:type="paragraph" w:styleId="EndnoteText">
    <w:name w:val="endnote text"/>
    <w:basedOn w:val="Normal"/>
    <w:link w:val="EndnoteTextChar"/>
    <w:uiPriority w:val="99"/>
    <w:semiHidden/>
    <w:unhideWhenUsed/>
    <w:rsid w:val="003741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1E6"/>
    <w:rPr>
      <w:rFonts w:eastAsiaTheme="minorEastAsia"/>
      <w:sz w:val="20"/>
      <w:szCs w:val="20"/>
      <w:lang w:eastAsia="en-CA"/>
    </w:rPr>
  </w:style>
  <w:style w:type="character" w:styleId="EndnoteReference">
    <w:name w:val="endnote reference"/>
    <w:basedOn w:val="DefaultParagraphFont"/>
    <w:uiPriority w:val="99"/>
    <w:semiHidden/>
    <w:unhideWhenUsed/>
    <w:rsid w:val="003741E6"/>
    <w:rPr>
      <w:vertAlign w:val="superscript"/>
    </w:rPr>
  </w:style>
  <w:style w:type="character" w:styleId="CommentReference">
    <w:name w:val="annotation reference"/>
    <w:basedOn w:val="DefaultParagraphFont"/>
    <w:uiPriority w:val="99"/>
    <w:semiHidden/>
    <w:unhideWhenUsed/>
    <w:rsid w:val="003741E6"/>
    <w:rPr>
      <w:sz w:val="16"/>
      <w:szCs w:val="16"/>
    </w:rPr>
  </w:style>
  <w:style w:type="paragraph" w:styleId="CommentText">
    <w:name w:val="annotation text"/>
    <w:basedOn w:val="Normal"/>
    <w:link w:val="CommentTextChar"/>
    <w:uiPriority w:val="99"/>
    <w:semiHidden/>
    <w:unhideWhenUsed/>
    <w:rsid w:val="003741E6"/>
    <w:pPr>
      <w:spacing w:line="240" w:lineRule="auto"/>
    </w:pPr>
    <w:rPr>
      <w:sz w:val="20"/>
      <w:szCs w:val="20"/>
    </w:rPr>
  </w:style>
  <w:style w:type="character" w:customStyle="1" w:styleId="CommentTextChar">
    <w:name w:val="Comment Text Char"/>
    <w:basedOn w:val="DefaultParagraphFont"/>
    <w:link w:val="CommentText"/>
    <w:uiPriority w:val="99"/>
    <w:semiHidden/>
    <w:rsid w:val="003741E6"/>
    <w:rPr>
      <w:rFonts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3741E6"/>
    <w:rPr>
      <w:b/>
      <w:bCs/>
    </w:rPr>
  </w:style>
  <w:style w:type="character" w:customStyle="1" w:styleId="CommentSubjectChar">
    <w:name w:val="Comment Subject Char"/>
    <w:basedOn w:val="CommentTextChar"/>
    <w:link w:val="CommentSubject"/>
    <w:uiPriority w:val="99"/>
    <w:semiHidden/>
    <w:rsid w:val="003741E6"/>
    <w:rPr>
      <w:rFonts w:eastAsiaTheme="minorEastAsia"/>
      <w:b/>
      <w:bCs/>
      <w:sz w:val="20"/>
      <w:szCs w:val="20"/>
      <w:lang w:eastAsia="en-CA"/>
    </w:rPr>
  </w:style>
  <w:style w:type="paragraph" w:styleId="Revision">
    <w:name w:val="Revision"/>
    <w:hidden/>
    <w:uiPriority w:val="99"/>
    <w:semiHidden/>
    <w:rsid w:val="003741E6"/>
    <w:pPr>
      <w:spacing w:after="0" w:line="240" w:lineRule="auto"/>
    </w:pPr>
  </w:style>
  <w:style w:type="character" w:styleId="Hyperlink">
    <w:name w:val="Hyperlink"/>
    <w:basedOn w:val="DefaultParagraphFont"/>
    <w:uiPriority w:val="99"/>
    <w:unhideWhenUsed/>
    <w:rsid w:val="003741E6"/>
    <w:rPr>
      <w:color w:val="0000FF" w:themeColor="hyperlink"/>
      <w:u w:val="single"/>
    </w:rPr>
  </w:style>
  <w:style w:type="character" w:customStyle="1" w:styleId="apple-style-span">
    <w:name w:val="apple-style-span"/>
    <w:basedOn w:val="DefaultParagraphFont"/>
    <w:rsid w:val="003741E6"/>
  </w:style>
  <w:style w:type="character" w:customStyle="1" w:styleId="apple-converted-space">
    <w:name w:val="apple-converted-space"/>
    <w:basedOn w:val="DefaultParagraphFont"/>
    <w:rsid w:val="003741E6"/>
  </w:style>
  <w:style w:type="table" w:customStyle="1" w:styleId="Style1">
    <w:name w:val="Style1"/>
    <w:basedOn w:val="TableNormal"/>
    <w:uiPriority w:val="99"/>
    <w:qFormat/>
    <w:rsid w:val="003741E6"/>
    <w:pPr>
      <w:spacing w:after="0" w:line="240" w:lineRule="auto"/>
    </w:pPr>
    <w:rPr>
      <w:rFonts w:ascii="Times New Roman" w:hAnsi="Times New Roman"/>
      <w:sz w:val="24"/>
    </w:rPr>
    <w:tblPr>
      <w:tblInd w:w="0" w:type="dxa"/>
      <w:tblCellMar>
        <w:top w:w="0" w:type="dxa"/>
        <w:left w:w="108" w:type="dxa"/>
        <w:bottom w:w="0" w:type="dxa"/>
        <w:right w:w="108" w:type="dxa"/>
      </w:tblCellMar>
    </w:tblPr>
    <w:tblStylePr w:type="firstRow">
      <w:rPr>
        <w:b/>
        <w:i w:val="0"/>
      </w:rPr>
      <w:tblPr/>
      <w:tcPr>
        <w:tcBorders>
          <w:top w:val="single" w:sz="4" w:space="0" w:color="auto"/>
          <w:left w:val="nil"/>
          <w:bottom w:val="single" w:sz="4" w:space="0" w:color="auto"/>
          <w:right w:val="nil"/>
          <w:insideH w:val="nil"/>
          <w:insideV w:val="nil"/>
        </w:tcBorders>
      </w:tcPr>
    </w:tblStylePr>
    <w:tblStylePr w:type="lastRow">
      <w:pPr>
        <w:wordWrap/>
      </w:pPr>
      <w:rPr>
        <w:rFonts w:ascii="Times New Roman" w:hAnsi="Times New Roman"/>
        <w:b w:val="0"/>
        <w:i w:val="0"/>
        <w:sz w:val="24"/>
      </w:rPr>
      <w:tblPr/>
      <w:trPr>
        <w:tblHeader/>
      </w:trPr>
      <w:tcPr>
        <w:tcBorders>
          <w:bottom w:val="single" w:sz="4" w:space="0" w:color="auto"/>
        </w:tcBorders>
      </w:tcPr>
    </w:tblStylePr>
  </w:style>
  <w:style w:type="paragraph" w:styleId="TOCHeading">
    <w:name w:val="TOC Heading"/>
    <w:basedOn w:val="Heading1"/>
    <w:next w:val="Normal"/>
    <w:uiPriority w:val="39"/>
    <w:semiHidden/>
    <w:unhideWhenUsed/>
    <w:qFormat/>
    <w:rsid w:val="003741E6"/>
    <w:pPr>
      <w:outlineLvl w:val="9"/>
    </w:pPr>
    <w:rPr>
      <w:lang w:val="en-US"/>
    </w:rPr>
  </w:style>
  <w:style w:type="paragraph" w:styleId="TOC1">
    <w:name w:val="toc 1"/>
    <w:basedOn w:val="Normal"/>
    <w:next w:val="Normal"/>
    <w:autoRedefine/>
    <w:uiPriority w:val="39"/>
    <w:unhideWhenUsed/>
    <w:rsid w:val="003741E6"/>
    <w:pPr>
      <w:spacing w:after="100"/>
    </w:pPr>
  </w:style>
  <w:style w:type="paragraph" w:styleId="TOC2">
    <w:name w:val="toc 2"/>
    <w:basedOn w:val="Normal"/>
    <w:next w:val="Normal"/>
    <w:autoRedefine/>
    <w:uiPriority w:val="39"/>
    <w:unhideWhenUsed/>
    <w:rsid w:val="003741E6"/>
    <w:pPr>
      <w:spacing w:after="100"/>
      <w:ind w:left="220"/>
    </w:pPr>
  </w:style>
  <w:style w:type="paragraph" w:styleId="TableofFigures">
    <w:name w:val="table of figures"/>
    <w:basedOn w:val="Normal"/>
    <w:next w:val="Normal"/>
    <w:uiPriority w:val="99"/>
    <w:unhideWhenUsed/>
    <w:rsid w:val="003741E6"/>
    <w:pPr>
      <w:spacing w:after="0"/>
    </w:pPr>
  </w:style>
  <w:style w:type="paragraph" w:styleId="TOC3">
    <w:name w:val="toc 3"/>
    <w:basedOn w:val="Normal"/>
    <w:next w:val="Normal"/>
    <w:autoRedefine/>
    <w:uiPriority w:val="39"/>
    <w:unhideWhenUsed/>
    <w:rsid w:val="003741E6"/>
    <w:pPr>
      <w:spacing w:after="100"/>
      <w:ind w:left="440"/>
    </w:pPr>
  </w:style>
  <w:style w:type="paragraph" w:styleId="TOC4">
    <w:name w:val="toc 4"/>
    <w:basedOn w:val="Normal"/>
    <w:next w:val="Normal"/>
    <w:autoRedefine/>
    <w:uiPriority w:val="39"/>
    <w:unhideWhenUsed/>
    <w:rsid w:val="003741E6"/>
    <w:pPr>
      <w:spacing w:after="100"/>
      <w:ind w:left="660"/>
    </w:pPr>
  </w:style>
  <w:style w:type="paragraph" w:styleId="NormalWeb">
    <w:name w:val="Normal (Web)"/>
    <w:basedOn w:val="Normal"/>
    <w:uiPriority w:val="99"/>
    <w:semiHidden/>
    <w:unhideWhenUsed/>
    <w:rsid w:val="003741E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41E6"/>
    <w:pPr>
      <w:keepNext/>
      <w:keepLines/>
      <w:spacing w:before="100" w:beforeAutospacing="1" w:after="0" w:line="480" w:lineRule="auto"/>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3741E6"/>
    <w:pPr>
      <w:keepNext/>
      <w:keepLines/>
      <w:spacing w:before="200" w:after="0" w:line="480" w:lineRule="auto"/>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3741E6"/>
    <w:pPr>
      <w:keepNext/>
      <w:keepLines/>
      <w:spacing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741E6"/>
    <w:pPr>
      <w:keepNext/>
      <w:keepLines/>
      <w:spacing w:before="100" w:beforeAutospacing="1" w:after="0" w:line="480"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105AC"/>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val="0"/>
        <w:bCs/>
      </w:rPr>
      <w:tblPr/>
      <w:tcPr>
        <w:tcBorders>
          <w:top w:val="nil"/>
          <w:left w:val="nil"/>
          <w:bottom w:val="single" w:sz="4" w:space="0" w:color="auto"/>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741E6"/>
    <w:rPr>
      <w:rFonts w:ascii="Times New Roman" w:eastAsiaTheme="majorEastAsia" w:hAnsi="Times New Roman" w:cstheme="majorBidi"/>
      <w:b/>
      <w:bCs/>
      <w:sz w:val="28"/>
      <w:szCs w:val="28"/>
      <w:lang w:eastAsia="en-CA"/>
    </w:rPr>
  </w:style>
  <w:style w:type="character" w:customStyle="1" w:styleId="Heading2Char">
    <w:name w:val="Heading 2 Char"/>
    <w:basedOn w:val="DefaultParagraphFont"/>
    <w:link w:val="Heading2"/>
    <w:uiPriority w:val="9"/>
    <w:rsid w:val="003741E6"/>
    <w:rPr>
      <w:rFonts w:ascii="Times New Roman" w:eastAsiaTheme="majorEastAsia" w:hAnsi="Times New Roman" w:cstheme="majorBidi"/>
      <w:b/>
      <w:bCs/>
      <w:sz w:val="26"/>
      <w:szCs w:val="26"/>
      <w:lang w:eastAsia="en-CA"/>
    </w:rPr>
  </w:style>
  <w:style w:type="character" w:customStyle="1" w:styleId="Heading3Char">
    <w:name w:val="Heading 3 Char"/>
    <w:basedOn w:val="DefaultParagraphFont"/>
    <w:link w:val="Heading3"/>
    <w:uiPriority w:val="9"/>
    <w:rsid w:val="003741E6"/>
    <w:rPr>
      <w:rFonts w:ascii="Times New Roman" w:eastAsiaTheme="majorEastAsia" w:hAnsi="Times New Roman" w:cstheme="majorBidi"/>
      <w:b/>
      <w:bCs/>
      <w:sz w:val="24"/>
      <w:lang w:eastAsia="en-CA"/>
    </w:rPr>
  </w:style>
  <w:style w:type="character" w:customStyle="1" w:styleId="Heading4Char">
    <w:name w:val="Heading 4 Char"/>
    <w:basedOn w:val="DefaultParagraphFont"/>
    <w:link w:val="Heading4"/>
    <w:uiPriority w:val="9"/>
    <w:rsid w:val="003741E6"/>
    <w:rPr>
      <w:rFonts w:ascii="Times New Roman" w:eastAsiaTheme="majorEastAsia" w:hAnsi="Times New Roman" w:cstheme="majorBidi"/>
      <w:b/>
      <w:bCs/>
      <w:iCs/>
      <w:sz w:val="24"/>
      <w:lang w:eastAsia="en-CA"/>
    </w:rPr>
  </w:style>
  <w:style w:type="table" w:customStyle="1" w:styleId="LightShading1">
    <w:name w:val="Light Shading1"/>
    <w:basedOn w:val="TableNormal"/>
    <w:uiPriority w:val="60"/>
    <w:rsid w:val="003741E6"/>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val="0"/>
        <w:bCs/>
      </w:rPr>
      <w:tblPr/>
      <w:tcPr>
        <w:tcBorders>
          <w:top w:val="nil"/>
          <w:left w:val="nil"/>
          <w:bottom w:val="single" w:sz="4" w:space="0" w:color="auto"/>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7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E6"/>
    <w:rPr>
      <w:rFonts w:ascii="Tahoma" w:eastAsiaTheme="minorEastAsia" w:hAnsi="Tahoma" w:cs="Tahoma"/>
      <w:sz w:val="16"/>
      <w:szCs w:val="16"/>
      <w:lang w:eastAsia="en-CA"/>
    </w:rPr>
  </w:style>
  <w:style w:type="table" w:styleId="TableGrid">
    <w:name w:val="Table Grid"/>
    <w:basedOn w:val="TableNormal"/>
    <w:uiPriority w:val="59"/>
    <w:rsid w:val="003741E6"/>
    <w:pPr>
      <w:spacing w:after="0" w:line="240" w:lineRule="auto"/>
    </w:pPr>
    <w:rPr>
      <w:rFonts w:ascii="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i w:val="0"/>
        <w:sz w:val="24"/>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styleId="Bibliography">
    <w:name w:val="Bibliography"/>
    <w:basedOn w:val="Normal"/>
    <w:next w:val="Normal"/>
    <w:uiPriority w:val="37"/>
    <w:unhideWhenUsed/>
    <w:rsid w:val="003741E6"/>
  </w:style>
  <w:style w:type="paragraph" w:styleId="Header">
    <w:name w:val="header"/>
    <w:basedOn w:val="Normal"/>
    <w:link w:val="HeaderChar"/>
    <w:uiPriority w:val="99"/>
    <w:unhideWhenUsed/>
    <w:rsid w:val="0037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1E6"/>
    <w:rPr>
      <w:rFonts w:eastAsiaTheme="minorEastAsia"/>
      <w:lang w:eastAsia="en-CA"/>
    </w:rPr>
  </w:style>
  <w:style w:type="paragraph" w:styleId="Footer">
    <w:name w:val="footer"/>
    <w:basedOn w:val="Normal"/>
    <w:link w:val="FooterChar"/>
    <w:uiPriority w:val="99"/>
    <w:unhideWhenUsed/>
    <w:rsid w:val="0037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1E6"/>
    <w:rPr>
      <w:rFonts w:eastAsiaTheme="minorEastAsia"/>
      <w:lang w:eastAsia="en-CA"/>
    </w:rPr>
  </w:style>
  <w:style w:type="paragraph" w:styleId="Caption">
    <w:name w:val="caption"/>
    <w:basedOn w:val="Normal"/>
    <w:next w:val="Normal"/>
    <w:uiPriority w:val="35"/>
    <w:unhideWhenUsed/>
    <w:qFormat/>
    <w:rsid w:val="003741E6"/>
    <w:pPr>
      <w:spacing w:line="240" w:lineRule="auto"/>
    </w:pPr>
    <w:rPr>
      <w:b/>
      <w:bCs/>
      <w:color w:val="4F81BD" w:themeColor="accent1"/>
      <w:sz w:val="18"/>
      <w:szCs w:val="18"/>
    </w:rPr>
  </w:style>
  <w:style w:type="character" w:styleId="PlaceholderText">
    <w:name w:val="Placeholder Text"/>
    <w:basedOn w:val="DefaultParagraphFont"/>
    <w:uiPriority w:val="99"/>
    <w:semiHidden/>
    <w:rsid w:val="003741E6"/>
    <w:rPr>
      <w:color w:val="808080"/>
    </w:rPr>
  </w:style>
  <w:style w:type="paragraph" w:styleId="FootnoteText">
    <w:name w:val="footnote text"/>
    <w:basedOn w:val="Normal"/>
    <w:link w:val="FootnoteTextChar"/>
    <w:uiPriority w:val="99"/>
    <w:unhideWhenUsed/>
    <w:rsid w:val="003741E6"/>
    <w:pPr>
      <w:spacing w:after="0" w:line="240" w:lineRule="auto"/>
    </w:pPr>
    <w:rPr>
      <w:sz w:val="20"/>
      <w:szCs w:val="20"/>
    </w:rPr>
  </w:style>
  <w:style w:type="character" w:customStyle="1" w:styleId="FootnoteTextChar">
    <w:name w:val="Footnote Text Char"/>
    <w:basedOn w:val="DefaultParagraphFont"/>
    <w:link w:val="FootnoteText"/>
    <w:uiPriority w:val="99"/>
    <w:rsid w:val="003741E6"/>
    <w:rPr>
      <w:rFonts w:eastAsiaTheme="minorEastAsia"/>
      <w:sz w:val="20"/>
      <w:szCs w:val="20"/>
      <w:lang w:eastAsia="en-CA"/>
    </w:rPr>
  </w:style>
  <w:style w:type="character" w:styleId="FootnoteReference">
    <w:name w:val="footnote reference"/>
    <w:basedOn w:val="DefaultParagraphFont"/>
    <w:uiPriority w:val="99"/>
    <w:semiHidden/>
    <w:unhideWhenUsed/>
    <w:rsid w:val="003741E6"/>
    <w:rPr>
      <w:vertAlign w:val="superscript"/>
    </w:rPr>
  </w:style>
  <w:style w:type="paragraph" w:styleId="EndnoteText">
    <w:name w:val="endnote text"/>
    <w:basedOn w:val="Normal"/>
    <w:link w:val="EndnoteTextChar"/>
    <w:uiPriority w:val="99"/>
    <w:semiHidden/>
    <w:unhideWhenUsed/>
    <w:rsid w:val="003741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1E6"/>
    <w:rPr>
      <w:rFonts w:eastAsiaTheme="minorEastAsia"/>
      <w:sz w:val="20"/>
      <w:szCs w:val="20"/>
      <w:lang w:eastAsia="en-CA"/>
    </w:rPr>
  </w:style>
  <w:style w:type="character" w:styleId="EndnoteReference">
    <w:name w:val="endnote reference"/>
    <w:basedOn w:val="DefaultParagraphFont"/>
    <w:uiPriority w:val="99"/>
    <w:semiHidden/>
    <w:unhideWhenUsed/>
    <w:rsid w:val="003741E6"/>
    <w:rPr>
      <w:vertAlign w:val="superscript"/>
    </w:rPr>
  </w:style>
  <w:style w:type="character" w:styleId="CommentReference">
    <w:name w:val="annotation reference"/>
    <w:basedOn w:val="DefaultParagraphFont"/>
    <w:uiPriority w:val="99"/>
    <w:semiHidden/>
    <w:unhideWhenUsed/>
    <w:rsid w:val="003741E6"/>
    <w:rPr>
      <w:sz w:val="16"/>
      <w:szCs w:val="16"/>
    </w:rPr>
  </w:style>
  <w:style w:type="paragraph" w:styleId="CommentText">
    <w:name w:val="annotation text"/>
    <w:basedOn w:val="Normal"/>
    <w:link w:val="CommentTextChar"/>
    <w:uiPriority w:val="99"/>
    <w:semiHidden/>
    <w:unhideWhenUsed/>
    <w:rsid w:val="003741E6"/>
    <w:pPr>
      <w:spacing w:line="240" w:lineRule="auto"/>
    </w:pPr>
    <w:rPr>
      <w:sz w:val="20"/>
      <w:szCs w:val="20"/>
    </w:rPr>
  </w:style>
  <w:style w:type="character" w:customStyle="1" w:styleId="CommentTextChar">
    <w:name w:val="Comment Text Char"/>
    <w:basedOn w:val="DefaultParagraphFont"/>
    <w:link w:val="CommentText"/>
    <w:uiPriority w:val="99"/>
    <w:semiHidden/>
    <w:rsid w:val="003741E6"/>
    <w:rPr>
      <w:rFonts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3741E6"/>
    <w:rPr>
      <w:b/>
      <w:bCs/>
    </w:rPr>
  </w:style>
  <w:style w:type="character" w:customStyle="1" w:styleId="CommentSubjectChar">
    <w:name w:val="Comment Subject Char"/>
    <w:basedOn w:val="CommentTextChar"/>
    <w:link w:val="CommentSubject"/>
    <w:uiPriority w:val="99"/>
    <w:semiHidden/>
    <w:rsid w:val="003741E6"/>
    <w:rPr>
      <w:rFonts w:eastAsiaTheme="minorEastAsia"/>
      <w:b/>
      <w:bCs/>
      <w:sz w:val="20"/>
      <w:szCs w:val="20"/>
      <w:lang w:eastAsia="en-CA"/>
    </w:rPr>
  </w:style>
  <w:style w:type="paragraph" w:styleId="Revision">
    <w:name w:val="Revision"/>
    <w:hidden/>
    <w:uiPriority w:val="99"/>
    <w:semiHidden/>
    <w:rsid w:val="003741E6"/>
    <w:pPr>
      <w:spacing w:after="0" w:line="240" w:lineRule="auto"/>
    </w:pPr>
  </w:style>
  <w:style w:type="character" w:styleId="Hyperlink">
    <w:name w:val="Hyperlink"/>
    <w:basedOn w:val="DefaultParagraphFont"/>
    <w:uiPriority w:val="99"/>
    <w:unhideWhenUsed/>
    <w:rsid w:val="003741E6"/>
    <w:rPr>
      <w:color w:val="0000FF" w:themeColor="hyperlink"/>
      <w:u w:val="single"/>
    </w:rPr>
  </w:style>
  <w:style w:type="character" w:customStyle="1" w:styleId="apple-style-span">
    <w:name w:val="apple-style-span"/>
    <w:basedOn w:val="DefaultParagraphFont"/>
    <w:rsid w:val="003741E6"/>
  </w:style>
  <w:style w:type="character" w:customStyle="1" w:styleId="apple-converted-space">
    <w:name w:val="apple-converted-space"/>
    <w:basedOn w:val="DefaultParagraphFont"/>
    <w:rsid w:val="003741E6"/>
  </w:style>
  <w:style w:type="table" w:customStyle="1" w:styleId="Style1">
    <w:name w:val="Style1"/>
    <w:basedOn w:val="TableNormal"/>
    <w:uiPriority w:val="99"/>
    <w:qFormat/>
    <w:rsid w:val="003741E6"/>
    <w:pPr>
      <w:spacing w:after="0" w:line="240" w:lineRule="auto"/>
    </w:pPr>
    <w:rPr>
      <w:rFonts w:ascii="Times New Roman" w:hAnsi="Times New Roman"/>
      <w:sz w:val="24"/>
    </w:rPr>
    <w:tblPr>
      <w:tblInd w:w="0" w:type="dxa"/>
      <w:tblCellMar>
        <w:top w:w="0" w:type="dxa"/>
        <w:left w:w="108" w:type="dxa"/>
        <w:bottom w:w="0" w:type="dxa"/>
        <w:right w:w="108" w:type="dxa"/>
      </w:tblCellMar>
    </w:tblPr>
    <w:tblStylePr w:type="firstRow">
      <w:rPr>
        <w:b/>
        <w:i w:val="0"/>
      </w:rPr>
      <w:tblPr/>
      <w:tcPr>
        <w:tcBorders>
          <w:top w:val="single" w:sz="4" w:space="0" w:color="auto"/>
          <w:left w:val="nil"/>
          <w:bottom w:val="single" w:sz="4" w:space="0" w:color="auto"/>
          <w:right w:val="nil"/>
          <w:insideH w:val="nil"/>
          <w:insideV w:val="nil"/>
        </w:tcBorders>
      </w:tcPr>
    </w:tblStylePr>
    <w:tblStylePr w:type="lastRow">
      <w:pPr>
        <w:wordWrap/>
      </w:pPr>
      <w:rPr>
        <w:rFonts w:ascii="Times New Roman" w:hAnsi="Times New Roman"/>
        <w:b w:val="0"/>
        <w:i w:val="0"/>
        <w:sz w:val="24"/>
      </w:rPr>
      <w:tblPr/>
      <w:trPr>
        <w:tblHeader/>
      </w:trPr>
      <w:tcPr>
        <w:tcBorders>
          <w:bottom w:val="single" w:sz="4" w:space="0" w:color="auto"/>
        </w:tcBorders>
      </w:tcPr>
    </w:tblStylePr>
  </w:style>
  <w:style w:type="paragraph" w:styleId="TOCHeading">
    <w:name w:val="TOC Heading"/>
    <w:basedOn w:val="Heading1"/>
    <w:next w:val="Normal"/>
    <w:uiPriority w:val="39"/>
    <w:semiHidden/>
    <w:unhideWhenUsed/>
    <w:qFormat/>
    <w:rsid w:val="003741E6"/>
    <w:pPr>
      <w:outlineLvl w:val="9"/>
    </w:pPr>
    <w:rPr>
      <w:lang w:val="en-US"/>
    </w:rPr>
  </w:style>
  <w:style w:type="paragraph" w:styleId="TOC1">
    <w:name w:val="toc 1"/>
    <w:basedOn w:val="Normal"/>
    <w:next w:val="Normal"/>
    <w:autoRedefine/>
    <w:uiPriority w:val="39"/>
    <w:unhideWhenUsed/>
    <w:rsid w:val="003741E6"/>
    <w:pPr>
      <w:spacing w:after="100"/>
    </w:pPr>
  </w:style>
  <w:style w:type="paragraph" w:styleId="TOC2">
    <w:name w:val="toc 2"/>
    <w:basedOn w:val="Normal"/>
    <w:next w:val="Normal"/>
    <w:autoRedefine/>
    <w:uiPriority w:val="39"/>
    <w:unhideWhenUsed/>
    <w:rsid w:val="003741E6"/>
    <w:pPr>
      <w:spacing w:after="100"/>
      <w:ind w:left="220"/>
    </w:pPr>
  </w:style>
  <w:style w:type="paragraph" w:styleId="TableofFigures">
    <w:name w:val="table of figures"/>
    <w:basedOn w:val="Normal"/>
    <w:next w:val="Normal"/>
    <w:uiPriority w:val="99"/>
    <w:unhideWhenUsed/>
    <w:rsid w:val="003741E6"/>
    <w:pPr>
      <w:spacing w:after="0"/>
    </w:pPr>
  </w:style>
  <w:style w:type="paragraph" w:styleId="TOC3">
    <w:name w:val="toc 3"/>
    <w:basedOn w:val="Normal"/>
    <w:next w:val="Normal"/>
    <w:autoRedefine/>
    <w:uiPriority w:val="39"/>
    <w:unhideWhenUsed/>
    <w:rsid w:val="003741E6"/>
    <w:pPr>
      <w:spacing w:after="100"/>
      <w:ind w:left="440"/>
    </w:pPr>
  </w:style>
  <w:style w:type="paragraph" w:styleId="TOC4">
    <w:name w:val="toc 4"/>
    <w:basedOn w:val="Normal"/>
    <w:next w:val="Normal"/>
    <w:autoRedefine/>
    <w:uiPriority w:val="39"/>
    <w:unhideWhenUsed/>
    <w:rsid w:val="003741E6"/>
    <w:pPr>
      <w:spacing w:after="100"/>
      <w:ind w:left="660"/>
    </w:pPr>
  </w:style>
  <w:style w:type="paragraph" w:styleId="NormalWeb">
    <w:name w:val="Normal (Web)"/>
    <w:basedOn w:val="Normal"/>
    <w:uiPriority w:val="99"/>
    <w:semiHidden/>
    <w:unhideWhenUsed/>
    <w:rsid w:val="003741E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9509">
      <w:bodyDiv w:val="1"/>
      <w:marLeft w:val="0"/>
      <w:marRight w:val="0"/>
      <w:marTop w:val="0"/>
      <w:marBottom w:val="0"/>
      <w:divBdr>
        <w:top w:val="none" w:sz="0" w:space="0" w:color="auto"/>
        <w:left w:val="none" w:sz="0" w:space="0" w:color="auto"/>
        <w:bottom w:val="none" w:sz="0" w:space="0" w:color="auto"/>
        <w:right w:val="none" w:sz="0" w:space="0" w:color="auto"/>
      </w:divBdr>
    </w:div>
    <w:div w:id="417018291">
      <w:bodyDiv w:val="1"/>
      <w:marLeft w:val="0"/>
      <w:marRight w:val="0"/>
      <w:marTop w:val="0"/>
      <w:marBottom w:val="0"/>
      <w:divBdr>
        <w:top w:val="none" w:sz="0" w:space="0" w:color="auto"/>
        <w:left w:val="none" w:sz="0" w:space="0" w:color="auto"/>
        <w:bottom w:val="none" w:sz="0" w:space="0" w:color="auto"/>
        <w:right w:val="none" w:sz="0" w:space="0" w:color="auto"/>
      </w:divBdr>
    </w:div>
    <w:div w:id="478038380">
      <w:bodyDiv w:val="1"/>
      <w:marLeft w:val="0"/>
      <w:marRight w:val="0"/>
      <w:marTop w:val="0"/>
      <w:marBottom w:val="0"/>
      <w:divBdr>
        <w:top w:val="none" w:sz="0" w:space="0" w:color="auto"/>
        <w:left w:val="none" w:sz="0" w:space="0" w:color="auto"/>
        <w:bottom w:val="none" w:sz="0" w:space="0" w:color="auto"/>
        <w:right w:val="none" w:sz="0" w:space="0" w:color="auto"/>
      </w:divBdr>
    </w:div>
    <w:div w:id="483668938">
      <w:bodyDiv w:val="1"/>
      <w:marLeft w:val="0"/>
      <w:marRight w:val="0"/>
      <w:marTop w:val="0"/>
      <w:marBottom w:val="0"/>
      <w:divBdr>
        <w:top w:val="none" w:sz="0" w:space="0" w:color="auto"/>
        <w:left w:val="none" w:sz="0" w:space="0" w:color="auto"/>
        <w:bottom w:val="none" w:sz="0" w:space="0" w:color="auto"/>
        <w:right w:val="none" w:sz="0" w:space="0" w:color="auto"/>
      </w:divBdr>
    </w:div>
    <w:div w:id="492570561">
      <w:bodyDiv w:val="1"/>
      <w:marLeft w:val="0"/>
      <w:marRight w:val="0"/>
      <w:marTop w:val="0"/>
      <w:marBottom w:val="0"/>
      <w:divBdr>
        <w:top w:val="none" w:sz="0" w:space="0" w:color="auto"/>
        <w:left w:val="none" w:sz="0" w:space="0" w:color="auto"/>
        <w:bottom w:val="none" w:sz="0" w:space="0" w:color="auto"/>
        <w:right w:val="none" w:sz="0" w:space="0" w:color="auto"/>
      </w:divBdr>
    </w:div>
    <w:div w:id="11552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chart" Target="charts/chart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emf"/><Relationship Id="rId10"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mailto:hashisho@ualberta.c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manna\Documents\My%20Dropbox\Tamun%20research\regeneration%20paper-3\MW%20drying+water%20des%20final.xlsx"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manna\Documents\My%20Dropbox\Tamun%20research\regeneration%20paper-2\Const%20P%20vs.%20const%20T.CO2.CH4.xlsx" TargetMode="External"/><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amanna\Documents\My%20Dropbox\Tamun%20research\regeneration%20paper-2\Const%20P%20vs.%20const%20T.CO2.CH4.xlsx" TargetMode="External"/><Relationship Id="rId2"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manna\Documents\My%20Dropbox\Tamun%20research\regeneration%20paper-2\Const%20P%20vs.%20const%20T.CO2.CH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39419072615925"/>
          <c:y val="0.0328820355788864"/>
          <c:w val="0.748685966492999"/>
          <c:h val="0.77456825368128"/>
        </c:manualLayout>
      </c:layout>
      <c:scatterChart>
        <c:scatterStyle val="lineMarker"/>
        <c:varyColors val="0"/>
        <c:ser>
          <c:idx val="0"/>
          <c:order val="0"/>
          <c:tx>
            <c:v>Bed Temperature</c:v>
          </c:tx>
          <c:spPr>
            <a:ln>
              <a:solidFill>
                <a:prstClr val="black"/>
              </a:solidFill>
              <a:prstDash val="sysDash"/>
            </a:ln>
          </c:spPr>
          <c:marker>
            <c:symbol val="none"/>
          </c:marker>
          <c:xVal>
            <c:numRef>
              <c:f>('temp &amp; power profile'!$B$5,'temp &amp; power profile'!$B$11,'temp &amp; power profile'!$B$17,'temp &amp; power profile'!$B$23,'temp &amp; power profile'!$B$29,'temp &amp; power profile'!$B$35,'temp &amp; power profile'!$B$41,'temp &amp; power profile'!$B$47,'temp &amp; power profile'!$B$53,'temp &amp; power profile'!$B$59,'temp &amp; power profile'!$B$65,'temp &amp; power profile'!$B$71,'temp &amp; power profile'!$B$77,'temp &amp; power profile'!$B$83,'temp &amp; power profile'!$B$89,'temp &amp; power profile'!$B$95,'temp &amp; power profile'!$B$101,'temp &amp; power profile'!$B$107,'temp &amp; power profile'!$B$113,'temp &amp; power profile'!$B$119,'temp &amp; power profile'!$B$125,'temp &amp; power profile'!$B$131,'temp &amp; power profile'!$B$137)</c:f>
              <c:numCache>
                <c:formatCode>General</c:formatCode>
                <c:ptCount val="23"/>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numCache>
            </c:numRef>
          </c:xVal>
          <c:yVal>
            <c:numRef>
              <c:f>('temp &amp; power profile'!$C$5,'temp &amp; power profile'!$C$11,'temp &amp; power profile'!$C$17,'temp &amp; power profile'!$C$23,'temp &amp; power profile'!$C$29,'temp &amp; power profile'!$C$35,'temp &amp; power profile'!$C$41,'temp &amp; power profile'!$C$47,'temp &amp; power profile'!$C$53,'temp &amp; power profile'!$C$59,'temp &amp; power profile'!$C$65,'temp &amp; power profile'!$C$71,'temp &amp; power profile'!$C$77,'temp &amp; power profile'!$C$83,'temp &amp; power profile'!$C$89,'temp &amp; power profile'!$C$95,'temp &amp; power profile'!$C$101,'temp &amp; power profile'!$C$107,'temp &amp; power profile'!$C$113,'temp &amp; power profile'!$C$119,'temp &amp; power profile'!$C$125,'temp &amp; power profile'!$C$131,'temp &amp; power profile'!$C$137)</c:f>
              <c:numCache>
                <c:formatCode>General</c:formatCode>
                <c:ptCount val="23"/>
                <c:pt idx="0">
                  <c:v>20.99299999999986</c:v>
                </c:pt>
                <c:pt idx="1">
                  <c:v>40.401</c:v>
                </c:pt>
                <c:pt idx="2">
                  <c:v>51.502</c:v>
                </c:pt>
                <c:pt idx="3">
                  <c:v>58.154</c:v>
                </c:pt>
                <c:pt idx="4">
                  <c:v>62.003</c:v>
                </c:pt>
                <c:pt idx="5">
                  <c:v>65.316</c:v>
                </c:pt>
                <c:pt idx="6">
                  <c:v>67.25</c:v>
                </c:pt>
                <c:pt idx="7">
                  <c:v>69.906</c:v>
                </c:pt>
                <c:pt idx="8">
                  <c:v>73.88</c:v>
                </c:pt>
                <c:pt idx="9">
                  <c:v>77.225</c:v>
                </c:pt>
                <c:pt idx="10">
                  <c:v>77.586</c:v>
                </c:pt>
                <c:pt idx="11">
                  <c:v>87.548</c:v>
                </c:pt>
                <c:pt idx="12">
                  <c:v>126.653</c:v>
                </c:pt>
                <c:pt idx="13">
                  <c:v>166.2149999999999</c:v>
                </c:pt>
                <c:pt idx="14">
                  <c:v>190.4500000000001</c:v>
                </c:pt>
                <c:pt idx="15">
                  <c:v>190.05</c:v>
                </c:pt>
                <c:pt idx="16">
                  <c:v>190.075</c:v>
                </c:pt>
                <c:pt idx="17">
                  <c:v>189.947</c:v>
                </c:pt>
                <c:pt idx="18">
                  <c:v>190.026</c:v>
                </c:pt>
                <c:pt idx="19">
                  <c:v>190.255</c:v>
                </c:pt>
                <c:pt idx="20">
                  <c:v>190.047</c:v>
                </c:pt>
                <c:pt idx="21">
                  <c:v>190.292</c:v>
                </c:pt>
                <c:pt idx="22">
                  <c:v>189.96</c:v>
                </c:pt>
              </c:numCache>
            </c:numRef>
          </c:yVal>
          <c:smooth val="0"/>
        </c:ser>
        <c:ser>
          <c:idx val="2"/>
          <c:order val="1"/>
          <c:spPr>
            <a:ln>
              <a:noFill/>
            </a:ln>
          </c:spPr>
          <c:marker>
            <c:symbol val="none"/>
          </c:marker>
          <c:xVal>
            <c:numRef>
              <c:f>('temp &amp; power profile'!$E$5,'temp &amp; power profile'!$E$65,'temp &amp; power profile'!$E$125,'temp &amp; power profile'!$E$185)</c:f>
              <c:numCache>
                <c:formatCode>General</c:formatCode>
                <c:ptCount val="4"/>
                <c:pt idx="0">
                  <c:v>0.0</c:v>
                </c:pt>
                <c:pt idx="1">
                  <c:v>1.0</c:v>
                </c:pt>
                <c:pt idx="2">
                  <c:v>2.0</c:v>
                </c:pt>
                <c:pt idx="3">
                  <c:v>3.0</c:v>
                </c:pt>
              </c:numCache>
            </c:numRef>
          </c:xVal>
          <c:yVal>
            <c:numRef>
              <c:f>('temp &amp; power profile'!$F$5,'temp &amp; power profile'!$F$65,'temp &amp; power profile'!$F$125,'temp &amp; power profile'!$F$185)</c:f>
              <c:numCache>
                <c:formatCode>General</c:formatCode>
                <c:ptCount val="4"/>
                <c:pt idx="0">
                  <c:v>22.277</c:v>
                </c:pt>
                <c:pt idx="1">
                  <c:v>93.805</c:v>
                </c:pt>
                <c:pt idx="2">
                  <c:v>142.994</c:v>
                </c:pt>
                <c:pt idx="3">
                  <c:v>171.609</c:v>
                </c:pt>
              </c:numCache>
            </c:numRef>
          </c:yVal>
          <c:smooth val="0"/>
        </c:ser>
        <c:ser>
          <c:idx val="4"/>
          <c:order val="2"/>
          <c:spPr>
            <a:ln>
              <a:noFill/>
            </a:ln>
          </c:spPr>
          <c:marker>
            <c:symbol val="none"/>
          </c:marker>
          <c:xVal>
            <c:numRef>
              <c:f>('temp &amp; power profile'!$B$71,'temp &amp; power profile'!$B$77,'temp &amp; power profile'!$B$83,'temp &amp; power profile'!$B$89,'temp &amp; power profile'!$B$95,'temp &amp; power profile'!$B$101,'temp &amp; power profile'!$B$101,'temp &amp; power profile'!$B$95)</c:f>
              <c:numCache>
                <c:formatCode>General</c:formatCode>
                <c:ptCount val="8"/>
                <c:pt idx="0">
                  <c:v>11.0</c:v>
                </c:pt>
                <c:pt idx="1">
                  <c:v>12.0</c:v>
                </c:pt>
                <c:pt idx="2">
                  <c:v>13.0</c:v>
                </c:pt>
                <c:pt idx="3">
                  <c:v>14.0</c:v>
                </c:pt>
                <c:pt idx="4">
                  <c:v>15.0</c:v>
                </c:pt>
                <c:pt idx="5">
                  <c:v>16.0</c:v>
                </c:pt>
                <c:pt idx="6">
                  <c:v>16.0</c:v>
                </c:pt>
                <c:pt idx="7">
                  <c:v>15.0</c:v>
                </c:pt>
              </c:numCache>
            </c:numRef>
          </c:xVal>
          <c:yVal>
            <c:numRef>
              <c:f>('temp &amp; power profile'!$C$71,'temp &amp; power profile'!$C$77,'temp &amp; power profile'!$C$83,'temp &amp; power profile'!$C$89)</c:f>
              <c:numCache>
                <c:formatCode>General</c:formatCode>
                <c:ptCount val="4"/>
                <c:pt idx="0">
                  <c:v>87.548</c:v>
                </c:pt>
                <c:pt idx="1">
                  <c:v>126.653</c:v>
                </c:pt>
                <c:pt idx="2">
                  <c:v>166.2149999999999</c:v>
                </c:pt>
                <c:pt idx="3">
                  <c:v>190.4500000000001</c:v>
                </c:pt>
              </c:numCache>
            </c:numRef>
          </c:yVal>
          <c:smooth val="0"/>
        </c:ser>
        <c:dLbls>
          <c:showLegendKey val="0"/>
          <c:showVal val="0"/>
          <c:showCatName val="0"/>
          <c:showSerName val="0"/>
          <c:showPercent val="0"/>
          <c:showBubbleSize val="0"/>
        </c:dLbls>
        <c:axId val="569761752"/>
        <c:axId val="629984488"/>
      </c:scatterChart>
      <c:scatterChart>
        <c:scatterStyle val="lineMarker"/>
        <c:varyColors val="0"/>
        <c:ser>
          <c:idx val="1"/>
          <c:order val="3"/>
          <c:tx>
            <c:v>Net power</c:v>
          </c:tx>
          <c:spPr>
            <a:ln w="25400">
              <a:solidFill>
                <a:schemeClr val="tx1"/>
              </a:solidFill>
            </a:ln>
          </c:spPr>
          <c:marker>
            <c:symbol val="none"/>
          </c:marker>
          <c:xVal>
            <c:numRef>
              <c:f>'temp &amp; power profile'!$I$5:$I$148</c:f>
              <c:numCache>
                <c:formatCode>General</c:formatCode>
                <c:ptCount val="144"/>
                <c:pt idx="0">
                  <c:v>0.0</c:v>
                </c:pt>
                <c:pt idx="1">
                  <c:v>0.166666666666667</c:v>
                </c:pt>
                <c:pt idx="2">
                  <c:v>0.333333333333333</c:v>
                </c:pt>
                <c:pt idx="3">
                  <c:v>0.5</c:v>
                </c:pt>
                <c:pt idx="4">
                  <c:v>0.666666666666667</c:v>
                </c:pt>
                <c:pt idx="5">
                  <c:v>0.833333333333334</c:v>
                </c:pt>
                <c:pt idx="6">
                  <c:v>1.0</c:v>
                </c:pt>
                <c:pt idx="7">
                  <c:v>1.166666666666667</c:v>
                </c:pt>
                <c:pt idx="8">
                  <c:v>1.333333333333333</c:v>
                </c:pt>
                <c:pt idx="9">
                  <c:v>1.5</c:v>
                </c:pt>
                <c:pt idx="10">
                  <c:v>1.666666666666667</c:v>
                </c:pt>
                <c:pt idx="11">
                  <c:v>1.833333333333333</c:v>
                </c:pt>
                <c:pt idx="12">
                  <c:v>2.0</c:v>
                </c:pt>
                <c:pt idx="13">
                  <c:v>2.166666666666666</c:v>
                </c:pt>
                <c:pt idx="14">
                  <c:v>2.333333333333333</c:v>
                </c:pt>
                <c:pt idx="15">
                  <c:v>2.5</c:v>
                </c:pt>
                <c:pt idx="16">
                  <c:v>2.666666666666666</c:v>
                </c:pt>
                <c:pt idx="17">
                  <c:v>2.833333333333333</c:v>
                </c:pt>
                <c:pt idx="18">
                  <c:v>3.0</c:v>
                </c:pt>
                <c:pt idx="19">
                  <c:v>3.166666666666666</c:v>
                </c:pt>
                <c:pt idx="20">
                  <c:v>3.333333333333333</c:v>
                </c:pt>
                <c:pt idx="21">
                  <c:v>3.5</c:v>
                </c:pt>
                <c:pt idx="22">
                  <c:v>3.666666666666666</c:v>
                </c:pt>
                <c:pt idx="23">
                  <c:v>3.833333333333333</c:v>
                </c:pt>
                <c:pt idx="24">
                  <c:v>4.0</c:v>
                </c:pt>
                <c:pt idx="25">
                  <c:v>4.166666666666667</c:v>
                </c:pt>
                <c:pt idx="26">
                  <c:v>4.33333333333337</c:v>
                </c:pt>
                <c:pt idx="27">
                  <c:v>4.5</c:v>
                </c:pt>
                <c:pt idx="28">
                  <c:v>4.666666666666667</c:v>
                </c:pt>
                <c:pt idx="29">
                  <c:v>4.83333333333337</c:v>
                </c:pt>
                <c:pt idx="30">
                  <c:v>5.0</c:v>
                </c:pt>
                <c:pt idx="31">
                  <c:v>5.166666666666667</c:v>
                </c:pt>
                <c:pt idx="32">
                  <c:v>5.33333333333337</c:v>
                </c:pt>
                <c:pt idx="33">
                  <c:v>5.5</c:v>
                </c:pt>
                <c:pt idx="34">
                  <c:v>5.666666666666667</c:v>
                </c:pt>
                <c:pt idx="35">
                  <c:v>5.83333333333337</c:v>
                </c:pt>
                <c:pt idx="36">
                  <c:v>6.0</c:v>
                </c:pt>
                <c:pt idx="37">
                  <c:v>6.166666666666667</c:v>
                </c:pt>
                <c:pt idx="38">
                  <c:v>6.33333333333337</c:v>
                </c:pt>
                <c:pt idx="39">
                  <c:v>6.5</c:v>
                </c:pt>
                <c:pt idx="40">
                  <c:v>6.666666666666667</c:v>
                </c:pt>
                <c:pt idx="41">
                  <c:v>6.83333333333337</c:v>
                </c:pt>
                <c:pt idx="42">
                  <c:v>7.0</c:v>
                </c:pt>
                <c:pt idx="43">
                  <c:v>7.166666666666667</c:v>
                </c:pt>
                <c:pt idx="44">
                  <c:v>7.33333333333337</c:v>
                </c:pt>
                <c:pt idx="45">
                  <c:v>7.5</c:v>
                </c:pt>
                <c:pt idx="46">
                  <c:v>7.666666666666667</c:v>
                </c:pt>
                <c:pt idx="47">
                  <c:v>7.83333333333337</c:v>
                </c:pt>
                <c:pt idx="48">
                  <c:v>8.0</c:v>
                </c:pt>
                <c:pt idx="49">
                  <c:v>8.166666666666676</c:v>
                </c:pt>
                <c:pt idx="50">
                  <c:v>8.333333333333335</c:v>
                </c:pt>
                <c:pt idx="51">
                  <c:v>8.5</c:v>
                </c:pt>
                <c:pt idx="52">
                  <c:v>8.666666666666676</c:v>
                </c:pt>
                <c:pt idx="53">
                  <c:v>8.833333333333335</c:v>
                </c:pt>
                <c:pt idx="54">
                  <c:v>9.0</c:v>
                </c:pt>
                <c:pt idx="55">
                  <c:v>9.166666666666676</c:v>
                </c:pt>
                <c:pt idx="56">
                  <c:v>9.333333333333335</c:v>
                </c:pt>
                <c:pt idx="57">
                  <c:v>9.5</c:v>
                </c:pt>
                <c:pt idx="58">
                  <c:v>9.666666666666676</c:v>
                </c:pt>
                <c:pt idx="59">
                  <c:v>9.833333333333335</c:v>
                </c:pt>
                <c:pt idx="60">
                  <c:v>10.0</c:v>
                </c:pt>
                <c:pt idx="61">
                  <c:v>10.16666666666673</c:v>
                </c:pt>
                <c:pt idx="62">
                  <c:v>10.33333333333333</c:v>
                </c:pt>
                <c:pt idx="63">
                  <c:v>10.5</c:v>
                </c:pt>
                <c:pt idx="64">
                  <c:v>10.66666666666673</c:v>
                </c:pt>
                <c:pt idx="65">
                  <c:v>10.83333333333333</c:v>
                </c:pt>
                <c:pt idx="66">
                  <c:v>11.0</c:v>
                </c:pt>
                <c:pt idx="67">
                  <c:v>11.16666666666673</c:v>
                </c:pt>
                <c:pt idx="68">
                  <c:v>11.33333333333333</c:v>
                </c:pt>
                <c:pt idx="69">
                  <c:v>11.5</c:v>
                </c:pt>
                <c:pt idx="70">
                  <c:v>11.66666666666673</c:v>
                </c:pt>
                <c:pt idx="71">
                  <c:v>11.83333333333333</c:v>
                </c:pt>
                <c:pt idx="72">
                  <c:v>12.0</c:v>
                </c:pt>
                <c:pt idx="73">
                  <c:v>12.16666666666673</c:v>
                </c:pt>
                <c:pt idx="74">
                  <c:v>12.33333333333333</c:v>
                </c:pt>
                <c:pt idx="75">
                  <c:v>12.5</c:v>
                </c:pt>
                <c:pt idx="76">
                  <c:v>12.66666666666673</c:v>
                </c:pt>
                <c:pt idx="77">
                  <c:v>12.83333333333333</c:v>
                </c:pt>
                <c:pt idx="78">
                  <c:v>13.0</c:v>
                </c:pt>
                <c:pt idx="79">
                  <c:v>13.16666666666673</c:v>
                </c:pt>
                <c:pt idx="80">
                  <c:v>13.33333333333333</c:v>
                </c:pt>
                <c:pt idx="81">
                  <c:v>13.5</c:v>
                </c:pt>
                <c:pt idx="82">
                  <c:v>13.66666666666673</c:v>
                </c:pt>
                <c:pt idx="83">
                  <c:v>13.83333333333333</c:v>
                </c:pt>
                <c:pt idx="84">
                  <c:v>14.0</c:v>
                </c:pt>
                <c:pt idx="85">
                  <c:v>14.16666666666673</c:v>
                </c:pt>
                <c:pt idx="86">
                  <c:v>14.33333333333333</c:v>
                </c:pt>
                <c:pt idx="87">
                  <c:v>14.5</c:v>
                </c:pt>
                <c:pt idx="88">
                  <c:v>14.66666666666673</c:v>
                </c:pt>
                <c:pt idx="89">
                  <c:v>14.83333333333333</c:v>
                </c:pt>
                <c:pt idx="90">
                  <c:v>15.0</c:v>
                </c:pt>
                <c:pt idx="91">
                  <c:v>15.16666666666673</c:v>
                </c:pt>
                <c:pt idx="92">
                  <c:v>15.33333333333333</c:v>
                </c:pt>
                <c:pt idx="93">
                  <c:v>15.5</c:v>
                </c:pt>
                <c:pt idx="94">
                  <c:v>15.66666666666673</c:v>
                </c:pt>
                <c:pt idx="95">
                  <c:v>15.83333333333333</c:v>
                </c:pt>
                <c:pt idx="96">
                  <c:v>16.0</c:v>
                </c:pt>
                <c:pt idx="97">
                  <c:v>16.16666666666667</c:v>
                </c:pt>
                <c:pt idx="98">
                  <c:v>16.33333333333312</c:v>
                </c:pt>
                <c:pt idx="99">
                  <c:v>16.5</c:v>
                </c:pt>
                <c:pt idx="100">
                  <c:v>16.66666666666667</c:v>
                </c:pt>
                <c:pt idx="101">
                  <c:v>16.83333333333312</c:v>
                </c:pt>
                <c:pt idx="102">
                  <c:v>17.0</c:v>
                </c:pt>
                <c:pt idx="103">
                  <c:v>17.16666666666667</c:v>
                </c:pt>
                <c:pt idx="104">
                  <c:v>17.33333333333312</c:v>
                </c:pt>
                <c:pt idx="105">
                  <c:v>17.5</c:v>
                </c:pt>
                <c:pt idx="106">
                  <c:v>17.66666666666667</c:v>
                </c:pt>
                <c:pt idx="107">
                  <c:v>17.83333333333312</c:v>
                </c:pt>
                <c:pt idx="108">
                  <c:v>18.0</c:v>
                </c:pt>
                <c:pt idx="109">
                  <c:v>18.16666666666667</c:v>
                </c:pt>
                <c:pt idx="110">
                  <c:v>18.33333333333312</c:v>
                </c:pt>
                <c:pt idx="111">
                  <c:v>18.5</c:v>
                </c:pt>
                <c:pt idx="112">
                  <c:v>18.66666666666667</c:v>
                </c:pt>
                <c:pt idx="113">
                  <c:v>18.83333333333312</c:v>
                </c:pt>
                <c:pt idx="114">
                  <c:v>19.0</c:v>
                </c:pt>
                <c:pt idx="115">
                  <c:v>19.16666666666667</c:v>
                </c:pt>
                <c:pt idx="116">
                  <c:v>19.33333333333312</c:v>
                </c:pt>
                <c:pt idx="117">
                  <c:v>19.5</c:v>
                </c:pt>
                <c:pt idx="118">
                  <c:v>19.66666666666667</c:v>
                </c:pt>
                <c:pt idx="119">
                  <c:v>19.83333333333312</c:v>
                </c:pt>
                <c:pt idx="120">
                  <c:v>20.0</c:v>
                </c:pt>
                <c:pt idx="121">
                  <c:v>20.16666666666667</c:v>
                </c:pt>
                <c:pt idx="122">
                  <c:v>20.33333333333312</c:v>
                </c:pt>
                <c:pt idx="123">
                  <c:v>20.5</c:v>
                </c:pt>
                <c:pt idx="124">
                  <c:v>20.66666666666667</c:v>
                </c:pt>
                <c:pt idx="125">
                  <c:v>20.83333333333312</c:v>
                </c:pt>
                <c:pt idx="126">
                  <c:v>21.0</c:v>
                </c:pt>
                <c:pt idx="127">
                  <c:v>21.16666666666667</c:v>
                </c:pt>
                <c:pt idx="128">
                  <c:v>21.33333333333312</c:v>
                </c:pt>
                <c:pt idx="129">
                  <c:v>21.5</c:v>
                </c:pt>
                <c:pt idx="130">
                  <c:v>21.66666666666667</c:v>
                </c:pt>
                <c:pt idx="131">
                  <c:v>21.83333333333312</c:v>
                </c:pt>
                <c:pt idx="132">
                  <c:v>22.0</c:v>
                </c:pt>
                <c:pt idx="133">
                  <c:v>22.16666666666667</c:v>
                </c:pt>
                <c:pt idx="134">
                  <c:v>22.33333333333312</c:v>
                </c:pt>
                <c:pt idx="135">
                  <c:v>22.5</c:v>
                </c:pt>
                <c:pt idx="136">
                  <c:v>22.66666666666667</c:v>
                </c:pt>
                <c:pt idx="137">
                  <c:v>22.83333333333312</c:v>
                </c:pt>
                <c:pt idx="138">
                  <c:v>23.0</c:v>
                </c:pt>
                <c:pt idx="139">
                  <c:v>23.16666666666667</c:v>
                </c:pt>
                <c:pt idx="140">
                  <c:v>23.33333333333312</c:v>
                </c:pt>
                <c:pt idx="141">
                  <c:v>23.5</c:v>
                </c:pt>
                <c:pt idx="142">
                  <c:v>23.66666666666667</c:v>
                </c:pt>
                <c:pt idx="143">
                  <c:v>23.83333333333312</c:v>
                </c:pt>
              </c:numCache>
            </c:numRef>
          </c:xVal>
          <c:yVal>
            <c:numRef>
              <c:f>'temp &amp; power profile'!$J$5:$J$148</c:f>
              <c:numCache>
                <c:formatCode>General</c:formatCode>
                <c:ptCount val="144"/>
                <c:pt idx="0">
                  <c:v>11.95024528465692</c:v>
                </c:pt>
                <c:pt idx="1">
                  <c:v>11.53893779387596</c:v>
                </c:pt>
                <c:pt idx="2">
                  <c:v>11.33403514380532</c:v>
                </c:pt>
                <c:pt idx="3">
                  <c:v>11.38166286599835</c:v>
                </c:pt>
                <c:pt idx="4">
                  <c:v>11.1123301498489</c:v>
                </c:pt>
                <c:pt idx="5">
                  <c:v>12.01943331901348</c:v>
                </c:pt>
                <c:pt idx="6">
                  <c:v>12.0633834549634</c:v>
                </c:pt>
                <c:pt idx="7">
                  <c:v>11.67500198856777</c:v>
                </c:pt>
                <c:pt idx="8">
                  <c:v>12.44236643917265</c:v>
                </c:pt>
                <c:pt idx="9">
                  <c:v>11.61825498962515</c:v>
                </c:pt>
                <c:pt idx="10">
                  <c:v>11.8174114711027</c:v>
                </c:pt>
                <c:pt idx="11">
                  <c:v>12.8943541826783</c:v>
                </c:pt>
                <c:pt idx="12">
                  <c:v>12.31325144618487</c:v>
                </c:pt>
                <c:pt idx="13">
                  <c:v>13.07208110775606</c:v>
                </c:pt>
                <c:pt idx="14">
                  <c:v>13.48613957297644</c:v>
                </c:pt>
                <c:pt idx="15">
                  <c:v>13.78973728256272</c:v>
                </c:pt>
                <c:pt idx="16">
                  <c:v>13.05916812053375</c:v>
                </c:pt>
                <c:pt idx="17">
                  <c:v>13.89980097629451</c:v>
                </c:pt>
                <c:pt idx="18">
                  <c:v>13.98018658282317</c:v>
                </c:pt>
                <c:pt idx="19">
                  <c:v>14.20846060629827</c:v>
                </c:pt>
                <c:pt idx="20">
                  <c:v>13.67992433539204</c:v>
                </c:pt>
                <c:pt idx="21">
                  <c:v>14.98150338838358</c:v>
                </c:pt>
                <c:pt idx="22">
                  <c:v>14.60327768616987</c:v>
                </c:pt>
                <c:pt idx="23">
                  <c:v>15.34848403550078</c:v>
                </c:pt>
                <c:pt idx="24">
                  <c:v>14.65601255352213</c:v>
                </c:pt>
                <c:pt idx="25">
                  <c:v>15.02329808082206</c:v>
                </c:pt>
                <c:pt idx="26">
                  <c:v>15.56056055699416</c:v>
                </c:pt>
                <c:pt idx="27">
                  <c:v>15.25481232235793</c:v>
                </c:pt>
                <c:pt idx="28">
                  <c:v>16.01151181306746</c:v>
                </c:pt>
                <c:pt idx="29">
                  <c:v>16.30795201500102</c:v>
                </c:pt>
                <c:pt idx="30">
                  <c:v>16.53520325453453</c:v>
                </c:pt>
                <c:pt idx="31">
                  <c:v>16.33118291956907</c:v>
                </c:pt>
                <c:pt idx="32">
                  <c:v>17.28820081439421</c:v>
                </c:pt>
                <c:pt idx="33">
                  <c:v>17.30245025077019</c:v>
                </c:pt>
                <c:pt idx="34">
                  <c:v>17.63317314004993</c:v>
                </c:pt>
                <c:pt idx="35">
                  <c:v>18.23548302140703</c:v>
                </c:pt>
                <c:pt idx="36">
                  <c:v>17.36911770306039</c:v>
                </c:pt>
                <c:pt idx="37">
                  <c:v>18.801880733486</c:v>
                </c:pt>
                <c:pt idx="38">
                  <c:v>18.70523204604548</c:v>
                </c:pt>
                <c:pt idx="39">
                  <c:v>19.27032563441438</c:v>
                </c:pt>
                <c:pt idx="40">
                  <c:v>19.84478485357909</c:v>
                </c:pt>
                <c:pt idx="41">
                  <c:v>19.29554398282483</c:v>
                </c:pt>
                <c:pt idx="42">
                  <c:v>21.37340111750132</c:v>
                </c:pt>
                <c:pt idx="43">
                  <c:v>20.54897547679473</c:v>
                </c:pt>
                <c:pt idx="44">
                  <c:v>22.2027269275575</c:v>
                </c:pt>
                <c:pt idx="45">
                  <c:v>22.88902950429489</c:v>
                </c:pt>
                <c:pt idx="46">
                  <c:v>21.97421134464701</c:v>
                </c:pt>
                <c:pt idx="47">
                  <c:v>24.6623583271624</c:v>
                </c:pt>
                <c:pt idx="48">
                  <c:v>25.28705404188754</c:v>
                </c:pt>
                <c:pt idx="49">
                  <c:v>25.81740536445325</c:v>
                </c:pt>
                <c:pt idx="50">
                  <c:v>27.78860117662168</c:v>
                </c:pt>
                <c:pt idx="51">
                  <c:v>27.2701377991547</c:v>
                </c:pt>
                <c:pt idx="52">
                  <c:v>29.09684849364512</c:v>
                </c:pt>
                <c:pt idx="53">
                  <c:v>29.36371516344613</c:v>
                </c:pt>
                <c:pt idx="54">
                  <c:v>30.76575737063498</c:v>
                </c:pt>
                <c:pt idx="55">
                  <c:v>30.43302083681982</c:v>
                </c:pt>
                <c:pt idx="56">
                  <c:v>31.72000433892902</c:v>
                </c:pt>
                <c:pt idx="57">
                  <c:v>32.107889911006</c:v>
                </c:pt>
                <c:pt idx="58">
                  <c:v>31.33436985655455</c:v>
                </c:pt>
                <c:pt idx="59">
                  <c:v>33.02865004799396</c:v>
                </c:pt>
                <c:pt idx="60">
                  <c:v>32.65391849662795</c:v>
                </c:pt>
                <c:pt idx="61">
                  <c:v>32.6285667321748</c:v>
                </c:pt>
                <c:pt idx="62">
                  <c:v>32.42324533587413</c:v>
                </c:pt>
                <c:pt idx="63">
                  <c:v>33.2169311292952</c:v>
                </c:pt>
                <c:pt idx="64">
                  <c:v>33.06405036127977</c:v>
                </c:pt>
                <c:pt idx="65">
                  <c:v>32.728735245209</c:v>
                </c:pt>
                <c:pt idx="66">
                  <c:v>33.13145300914145</c:v>
                </c:pt>
                <c:pt idx="67">
                  <c:v>33.651383591526</c:v>
                </c:pt>
                <c:pt idx="68">
                  <c:v>33.23924034052166</c:v>
                </c:pt>
                <c:pt idx="69">
                  <c:v>34.08150707072834</c:v>
                </c:pt>
                <c:pt idx="70">
                  <c:v>32.95165709961631</c:v>
                </c:pt>
                <c:pt idx="71">
                  <c:v>32.93686215166584</c:v>
                </c:pt>
                <c:pt idx="72">
                  <c:v>33.29074331379054</c:v>
                </c:pt>
                <c:pt idx="73">
                  <c:v>32.437054341692</c:v>
                </c:pt>
                <c:pt idx="74">
                  <c:v>33.0583224125429</c:v>
                </c:pt>
                <c:pt idx="75">
                  <c:v>32.64015870597003</c:v>
                </c:pt>
                <c:pt idx="76">
                  <c:v>30.87549969656347</c:v>
                </c:pt>
                <c:pt idx="77">
                  <c:v>29.97277153936139</c:v>
                </c:pt>
                <c:pt idx="78">
                  <c:v>29.07875415169925</c:v>
                </c:pt>
                <c:pt idx="79">
                  <c:v>27.86806379021337</c:v>
                </c:pt>
                <c:pt idx="80">
                  <c:v>25.90695763734944</c:v>
                </c:pt>
                <c:pt idx="81">
                  <c:v>24.83195009208132</c:v>
                </c:pt>
                <c:pt idx="82">
                  <c:v>24.42483457996368</c:v>
                </c:pt>
                <c:pt idx="83">
                  <c:v>17.55181631455561</c:v>
                </c:pt>
                <c:pt idx="84">
                  <c:v>13.38905509352103</c:v>
                </c:pt>
                <c:pt idx="85">
                  <c:v>14.22248215451184</c:v>
                </c:pt>
                <c:pt idx="86">
                  <c:v>15.44614563774153</c:v>
                </c:pt>
                <c:pt idx="87">
                  <c:v>15.47392806072494</c:v>
                </c:pt>
                <c:pt idx="88">
                  <c:v>15.37872489387427</c:v>
                </c:pt>
                <c:pt idx="89">
                  <c:v>14.65010460164356</c:v>
                </c:pt>
                <c:pt idx="90">
                  <c:v>14.42019005302452</c:v>
                </c:pt>
                <c:pt idx="91">
                  <c:v>14.53380855807244</c:v>
                </c:pt>
                <c:pt idx="92">
                  <c:v>14.34747248000167</c:v>
                </c:pt>
                <c:pt idx="93">
                  <c:v>13.64278942693882</c:v>
                </c:pt>
                <c:pt idx="94">
                  <c:v>13.95471986821102</c:v>
                </c:pt>
                <c:pt idx="95">
                  <c:v>13.32618614631458</c:v>
                </c:pt>
                <c:pt idx="96">
                  <c:v>11.95174360705542</c:v>
                </c:pt>
                <c:pt idx="97">
                  <c:v>14.23399923840097</c:v>
                </c:pt>
                <c:pt idx="98">
                  <c:v>14.07528943104945</c:v>
                </c:pt>
                <c:pt idx="99">
                  <c:v>13.38297611181632</c:v>
                </c:pt>
                <c:pt idx="100">
                  <c:v>12.83310153818642</c:v>
                </c:pt>
                <c:pt idx="101">
                  <c:v>14.50470963802744</c:v>
                </c:pt>
                <c:pt idx="102">
                  <c:v>12.20228560743316</c:v>
                </c:pt>
                <c:pt idx="103">
                  <c:v>13.44982925768442</c:v>
                </c:pt>
                <c:pt idx="104">
                  <c:v>12.03376933663176</c:v>
                </c:pt>
                <c:pt idx="105">
                  <c:v>11.52243287360985</c:v>
                </c:pt>
                <c:pt idx="106">
                  <c:v>12.75497899261502</c:v>
                </c:pt>
                <c:pt idx="107">
                  <c:v>12.47137023730043</c:v>
                </c:pt>
                <c:pt idx="108">
                  <c:v>12.93271083615442</c:v>
                </c:pt>
                <c:pt idx="109">
                  <c:v>13.24214729814946</c:v>
                </c:pt>
                <c:pt idx="110">
                  <c:v>12.28220019019664</c:v>
                </c:pt>
                <c:pt idx="111">
                  <c:v>13.76507613706311</c:v>
                </c:pt>
                <c:pt idx="112">
                  <c:v>12.49948933996334</c:v>
                </c:pt>
                <c:pt idx="113">
                  <c:v>13.25428478351997</c:v>
                </c:pt>
                <c:pt idx="114">
                  <c:v>12.76156571604306</c:v>
                </c:pt>
                <c:pt idx="115">
                  <c:v>12.71899112923803</c:v>
                </c:pt>
                <c:pt idx="116">
                  <c:v>12.9041795141085</c:v>
                </c:pt>
                <c:pt idx="117">
                  <c:v>12.9671339923369</c:v>
                </c:pt>
                <c:pt idx="118">
                  <c:v>9.980153269412614</c:v>
                </c:pt>
                <c:pt idx="119">
                  <c:v>13.2835268326803</c:v>
                </c:pt>
                <c:pt idx="120">
                  <c:v>12.05928192410982</c:v>
                </c:pt>
                <c:pt idx="121">
                  <c:v>12.42094804816204</c:v>
                </c:pt>
                <c:pt idx="122">
                  <c:v>11.93773480207181</c:v>
                </c:pt>
                <c:pt idx="123">
                  <c:v>10.20898570376126</c:v>
                </c:pt>
                <c:pt idx="124">
                  <c:v>13.84223615706518</c:v>
                </c:pt>
                <c:pt idx="125">
                  <c:v>12.45197508172085</c:v>
                </c:pt>
                <c:pt idx="126">
                  <c:v>10.76445001547446</c:v>
                </c:pt>
                <c:pt idx="127">
                  <c:v>14.94351768607604</c:v>
                </c:pt>
                <c:pt idx="128">
                  <c:v>12.66948624092738</c:v>
                </c:pt>
                <c:pt idx="129">
                  <c:v>12.37553642994907</c:v>
                </c:pt>
                <c:pt idx="130">
                  <c:v>11.288781284568</c:v>
                </c:pt>
                <c:pt idx="131">
                  <c:v>10.63184179968215</c:v>
                </c:pt>
                <c:pt idx="132">
                  <c:v>9.690601206618581</c:v>
                </c:pt>
                <c:pt idx="133">
                  <c:v>12.85170297205801</c:v>
                </c:pt>
                <c:pt idx="134">
                  <c:v>11.67449158489212</c:v>
                </c:pt>
                <c:pt idx="135">
                  <c:v>11.72339243549141</c:v>
                </c:pt>
                <c:pt idx="136">
                  <c:v>14.11353290049384</c:v>
                </c:pt>
                <c:pt idx="137">
                  <c:v>10.38490196969435</c:v>
                </c:pt>
                <c:pt idx="138">
                  <c:v>11.53258105905115</c:v>
                </c:pt>
                <c:pt idx="139">
                  <c:v>12.19466412880859</c:v>
                </c:pt>
                <c:pt idx="140">
                  <c:v>9.468013495460701</c:v>
                </c:pt>
                <c:pt idx="141">
                  <c:v>11.01561241733366</c:v>
                </c:pt>
                <c:pt idx="142">
                  <c:v>9.187667972673963</c:v>
                </c:pt>
                <c:pt idx="143">
                  <c:v>10.93141580851923</c:v>
                </c:pt>
              </c:numCache>
            </c:numRef>
          </c:yVal>
          <c:smooth val="0"/>
        </c:ser>
        <c:dLbls>
          <c:showLegendKey val="0"/>
          <c:showVal val="0"/>
          <c:showCatName val="0"/>
          <c:showSerName val="0"/>
          <c:showPercent val="0"/>
          <c:showBubbleSize val="0"/>
        </c:dLbls>
        <c:axId val="569719512"/>
        <c:axId val="629428728"/>
      </c:scatterChart>
      <c:valAx>
        <c:axId val="569761752"/>
        <c:scaling>
          <c:orientation val="minMax"/>
        </c:scaling>
        <c:delete val="0"/>
        <c:axPos val="b"/>
        <c:title>
          <c:tx>
            <c:rich>
              <a:bodyPr/>
              <a:lstStyle/>
              <a:p>
                <a:pPr>
                  <a:defRPr/>
                </a:pPr>
                <a:r>
                  <a:rPr lang="en-CA"/>
                  <a:t>Time (min)</a:t>
                </a:r>
              </a:p>
            </c:rich>
          </c:tx>
          <c:layout/>
          <c:overlay val="0"/>
        </c:title>
        <c:numFmt formatCode="General" sourceLinked="1"/>
        <c:majorTickMark val="out"/>
        <c:minorTickMark val="none"/>
        <c:tickLblPos val="nextTo"/>
        <c:crossAx val="629984488"/>
        <c:crosses val="autoZero"/>
        <c:crossBetween val="midCat"/>
      </c:valAx>
      <c:valAx>
        <c:axId val="629984488"/>
        <c:scaling>
          <c:orientation val="minMax"/>
          <c:max val="250.0"/>
        </c:scaling>
        <c:delete val="0"/>
        <c:axPos val="l"/>
        <c:title>
          <c:tx>
            <c:rich>
              <a:bodyPr rot="-5400000" vert="horz"/>
              <a:lstStyle/>
              <a:p>
                <a:pPr>
                  <a:defRPr/>
                </a:pPr>
                <a:r>
                  <a:rPr lang="en-CA"/>
                  <a:t>Temperature (°C)</a:t>
                </a:r>
              </a:p>
            </c:rich>
          </c:tx>
          <c:layout/>
          <c:overlay val="0"/>
        </c:title>
        <c:numFmt formatCode="General" sourceLinked="1"/>
        <c:majorTickMark val="out"/>
        <c:minorTickMark val="none"/>
        <c:tickLblPos val="nextTo"/>
        <c:crossAx val="569761752"/>
        <c:crosses val="autoZero"/>
        <c:crossBetween val="midCat"/>
      </c:valAx>
      <c:valAx>
        <c:axId val="629428728"/>
        <c:scaling>
          <c:orientation val="minMax"/>
        </c:scaling>
        <c:delete val="0"/>
        <c:axPos val="r"/>
        <c:title>
          <c:tx>
            <c:rich>
              <a:bodyPr rot="-5400000" vert="horz"/>
              <a:lstStyle/>
              <a:p>
                <a:pPr>
                  <a:defRPr/>
                </a:pPr>
                <a:r>
                  <a:rPr lang="en-CA"/>
                  <a:t>Net power (W)</a:t>
                </a:r>
              </a:p>
            </c:rich>
          </c:tx>
          <c:layout/>
          <c:overlay val="0"/>
        </c:title>
        <c:numFmt formatCode="General" sourceLinked="1"/>
        <c:majorTickMark val="out"/>
        <c:minorTickMark val="none"/>
        <c:tickLblPos val="nextTo"/>
        <c:crossAx val="569719512"/>
        <c:crosses val="max"/>
        <c:crossBetween val="midCat"/>
      </c:valAx>
      <c:valAx>
        <c:axId val="569719512"/>
        <c:scaling>
          <c:orientation val="minMax"/>
        </c:scaling>
        <c:delete val="1"/>
        <c:axPos val="b"/>
        <c:numFmt formatCode="General" sourceLinked="1"/>
        <c:majorTickMark val="out"/>
        <c:minorTickMark val="none"/>
        <c:tickLblPos val="none"/>
        <c:crossAx val="629428728"/>
        <c:crosses val="autoZero"/>
        <c:crossBetween val="midCat"/>
      </c:valAx>
    </c:plotArea>
    <c:legend>
      <c:legendPos val="r"/>
      <c:legendEntry>
        <c:idx val="1"/>
        <c:delete val="1"/>
      </c:legendEntry>
      <c:legendEntry>
        <c:idx val="2"/>
        <c:delete val="1"/>
      </c:legendEntry>
      <c:layout>
        <c:manualLayout>
          <c:xMode val="edge"/>
          <c:yMode val="edge"/>
          <c:x val="0.529729579257139"/>
          <c:y val="0.633422574895946"/>
          <c:w val="0.335157480314964"/>
          <c:h val="0.151804378911324"/>
        </c:manualLayout>
      </c:layout>
      <c:overlay val="0"/>
    </c:legend>
    <c:plotVisOnly val="1"/>
    <c:dispBlanksAs val="gap"/>
    <c:showDLblsOverMax val="0"/>
  </c:chart>
  <c:spPr>
    <a:noFill/>
    <a:ln>
      <a:noFill/>
    </a:ln>
  </c:spPr>
  <c:txPr>
    <a:bodyPr/>
    <a:lstStyle/>
    <a:p>
      <a:pPr>
        <a:defRPr sz="1200">
          <a:latin typeface="Cambria"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1641294838145"/>
          <c:y val="0.0514005540974045"/>
          <c:w val="0.708286964129484"/>
          <c:h val="0.734448089822105"/>
        </c:manualLayout>
      </c:layout>
      <c:scatterChart>
        <c:scatterStyle val="lineMarker"/>
        <c:varyColors val="0"/>
        <c:ser>
          <c:idx val="1"/>
          <c:order val="0"/>
          <c:tx>
            <c:v>Temperature</c:v>
          </c:tx>
          <c:spPr>
            <a:ln w="28575">
              <a:solidFill>
                <a:prstClr val="black"/>
              </a:solidFill>
              <a:prstDash val="dash"/>
            </a:ln>
          </c:spPr>
          <c:marker>
            <c:symbol val="none"/>
          </c:marker>
          <c:trendline>
            <c:spPr>
              <a:ln w="22225">
                <a:solidFill>
                  <a:srgbClr val="FF0000"/>
                </a:solidFill>
              </a:ln>
            </c:spPr>
            <c:trendlineType val="linear"/>
            <c:forward val="2.0"/>
            <c:backward val="1.0"/>
            <c:dispRSqr val="1"/>
            <c:dispEq val="1"/>
            <c:trendlineLbl>
              <c:layout>
                <c:manualLayout>
                  <c:x val="-0.169953377538334"/>
                  <c:y val="0.105783602707557"/>
                </c:manualLayout>
              </c:layout>
              <c:tx>
                <c:rich>
                  <a:bodyPr/>
                  <a:lstStyle/>
                  <a:p>
                    <a:pPr>
                      <a:defRPr/>
                    </a:pPr>
                    <a:r>
                      <a:rPr lang="en-CA" baseline="0"/>
                      <a:t>y = 1.8x + 14.1</a:t>
                    </a:r>
                    <a:endParaRPr lang="en-CA"/>
                  </a:p>
                </c:rich>
              </c:tx>
              <c:numFmt formatCode="#,##0.00" sourceLinked="0"/>
            </c:trendlineLbl>
          </c:trendline>
          <c:xVal>
            <c:numRef>
              <c:f>'Const P_profile T,P'!$A$7:$A$98</c:f>
              <c:numCache>
                <c:formatCode>General</c:formatCode>
                <c:ptCount val="92"/>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numCache>
            </c:numRef>
          </c:xVal>
          <c:yVal>
            <c:numRef>
              <c:f>'Const P_profile T,P'!$C$7:$C$98</c:f>
              <c:numCache>
                <c:formatCode>General</c:formatCode>
                <c:ptCount val="92"/>
                <c:pt idx="0">
                  <c:v>22.675</c:v>
                </c:pt>
                <c:pt idx="1">
                  <c:v>22.735</c:v>
                </c:pt>
                <c:pt idx="2">
                  <c:v>22.72299999999989</c:v>
                </c:pt>
                <c:pt idx="3">
                  <c:v>23.22</c:v>
                </c:pt>
                <c:pt idx="4">
                  <c:v>23.369</c:v>
                </c:pt>
                <c:pt idx="5">
                  <c:v>24.392</c:v>
                </c:pt>
                <c:pt idx="6">
                  <c:v>24.96899999999982</c:v>
                </c:pt>
                <c:pt idx="7">
                  <c:v>26.38899999999999</c:v>
                </c:pt>
                <c:pt idx="8">
                  <c:v>27.47899999999998</c:v>
                </c:pt>
                <c:pt idx="9">
                  <c:v>28.876</c:v>
                </c:pt>
                <c:pt idx="10">
                  <c:v>30.29599999999999</c:v>
                </c:pt>
                <c:pt idx="11">
                  <c:v>31.63100000000014</c:v>
                </c:pt>
                <c:pt idx="12">
                  <c:v>33.28800000000001</c:v>
                </c:pt>
                <c:pt idx="13">
                  <c:v>35.087</c:v>
                </c:pt>
                <c:pt idx="14">
                  <c:v>36.934</c:v>
                </c:pt>
                <c:pt idx="15">
                  <c:v>38.466</c:v>
                </c:pt>
                <c:pt idx="16">
                  <c:v>39.908</c:v>
                </c:pt>
                <c:pt idx="17">
                  <c:v>42.46700000000001</c:v>
                </c:pt>
                <c:pt idx="18">
                  <c:v>43.82700000000001</c:v>
                </c:pt>
                <c:pt idx="19">
                  <c:v>45.774</c:v>
                </c:pt>
                <c:pt idx="20">
                  <c:v>47.802</c:v>
                </c:pt>
                <c:pt idx="21">
                  <c:v>49.951</c:v>
                </c:pt>
                <c:pt idx="22">
                  <c:v>51.615</c:v>
                </c:pt>
                <c:pt idx="23">
                  <c:v>53.22100000000001</c:v>
                </c:pt>
                <c:pt idx="24">
                  <c:v>55.567</c:v>
                </c:pt>
                <c:pt idx="25">
                  <c:v>57.19500000000021</c:v>
                </c:pt>
                <c:pt idx="26">
                  <c:v>58.929</c:v>
                </c:pt>
                <c:pt idx="27">
                  <c:v>61.143</c:v>
                </c:pt>
                <c:pt idx="28">
                  <c:v>62.90300000000001</c:v>
                </c:pt>
                <c:pt idx="29">
                  <c:v>64.778</c:v>
                </c:pt>
                <c:pt idx="30">
                  <c:v>66.53</c:v>
                </c:pt>
                <c:pt idx="31">
                  <c:v>68.47</c:v>
                </c:pt>
                <c:pt idx="32">
                  <c:v>70.041</c:v>
                </c:pt>
                <c:pt idx="33">
                  <c:v>72.474</c:v>
                </c:pt>
                <c:pt idx="34">
                  <c:v>73.979</c:v>
                </c:pt>
                <c:pt idx="35">
                  <c:v>75.87799999999998</c:v>
                </c:pt>
                <c:pt idx="36">
                  <c:v>77.865</c:v>
                </c:pt>
                <c:pt idx="37">
                  <c:v>79.269</c:v>
                </c:pt>
                <c:pt idx="38">
                  <c:v>81.29</c:v>
                </c:pt>
                <c:pt idx="39">
                  <c:v>83.35299999999998</c:v>
                </c:pt>
                <c:pt idx="40">
                  <c:v>85.017</c:v>
                </c:pt>
                <c:pt idx="41">
                  <c:v>86.77299999999998</c:v>
                </c:pt>
                <c:pt idx="42">
                  <c:v>88.4110000000005</c:v>
                </c:pt>
                <c:pt idx="43">
                  <c:v>90.45800000000001</c:v>
                </c:pt>
                <c:pt idx="44">
                  <c:v>92.168</c:v>
                </c:pt>
                <c:pt idx="45">
                  <c:v>93.60799999999997</c:v>
                </c:pt>
                <c:pt idx="46">
                  <c:v>95.44000000000002</c:v>
                </c:pt>
                <c:pt idx="47">
                  <c:v>97.278</c:v>
                </c:pt>
                <c:pt idx="48">
                  <c:v>99.42</c:v>
                </c:pt>
                <c:pt idx="49">
                  <c:v>101.039</c:v>
                </c:pt>
                <c:pt idx="50">
                  <c:v>102.792</c:v>
                </c:pt>
                <c:pt idx="51">
                  <c:v>104.375</c:v>
                </c:pt>
                <c:pt idx="52">
                  <c:v>106.564</c:v>
                </c:pt>
                <c:pt idx="53">
                  <c:v>107.657</c:v>
                </c:pt>
                <c:pt idx="54">
                  <c:v>109.757</c:v>
                </c:pt>
                <c:pt idx="55">
                  <c:v>111.318</c:v>
                </c:pt>
                <c:pt idx="56">
                  <c:v>113.332</c:v>
                </c:pt>
                <c:pt idx="57">
                  <c:v>115.448</c:v>
                </c:pt>
                <c:pt idx="58">
                  <c:v>116.515</c:v>
                </c:pt>
                <c:pt idx="59">
                  <c:v>118.783</c:v>
                </c:pt>
                <c:pt idx="60">
                  <c:v>120.118</c:v>
                </c:pt>
                <c:pt idx="61">
                  <c:v>122.4100000000001</c:v>
                </c:pt>
                <c:pt idx="62">
                  <c:v>123.768</c:v>
                </c:pt>
                <c:pt idx="63">
                  <c:v>125.965</c:v>
                </c:pt>
                <c:pt idx="64">
                  <c:v>127.457</c:v>
                </c:pt>
                <c:pt idx="65">
                  <c:v>129.451000000001</c:v>
                </c:pt>
                <c:pt idx="66">
                  <c:v>130.943</c:v>
                </c:pt>
                <c:pt idx="67">
                  <c:v>132.623</c:v>
                </c:pt>
                <c:pt idx="68">
                  <c:v>134.969</c:v>
                </c:pt>
                <c:pt idx="69">
                  <c:v>136.622</c:v>
                </c:pt>
                <c:pt idx="70">
                  <c:v>138.4270000000007</c:v>
                </c:pt>
                <c:pt idx="71">
                  <c:v>140.009</c:v>
                </c:pt>
                <c:pt idx="72">
                  <c:v>141.918</c:v>
                </c:pt>
                <c:pt idx="73">
                  <c:v>143.727</c:v>
                </c:pt>
                <c:pt idx="74">
                  <c:v>145.733</c:v>
                </c:pt>
                <c:pt idx="75">
                  <c:v>147.602</c:v>
                </c:pt>
                <c:pt idx="76">
                  <c:v>149.353</c:v>
                </c:pt>
                <c:pt idx="77">
                  <c:v>151.074</c:v>
                </c:pt>
                <c:pt idx="78">
                  <c:v>152.918</c:v>
                </c:pt>
                <c:pt idx="79">
                  <c:v>154.951000000001</c:v>
                </c:pt>
                <c:pt idx="80">
                  <c:v>156.166</c:v>
                </c:pt>
                <c:pt idx="81">
                  <c:v>158.252</c:v>
                </c:pt>
                <c:pt idx="82">
                  <c:v>159.895</c:v>
                </c:pt>
                <c:pt idx="83">
                  <c:v>161.277</c:v>
                </c:pt>
                <c:pt idx="84">
                  <c:v>162.8550000000003</c:v>
                </c:pt>
                <c:pt idx="85">
                  <c:v>165.063</c:v>
                </c:pt>
                <c:pt idx="86">
                  <c:v>166.779</c:v>
                </c:pt>
                <c:pt idx="87">
                  <c:v>168.162</c:v>
                </c:pt>
                <c:pt idx="88">
                  <c:v>169.971</c:v>
                </c:pt>
                <c:pt idx="89">
                  <c:v>171.007</c:v>
                </c:pt>
                <c:pt idx="90">
                  <c:v>173.218</c:v>
                </c:pt>
                <c:pt idx="91">
                  <c:v>175.1</c:v>
                </c:pt>
              </c:numCache>
            </c:numRef>
          </c:yVal>
          <c:smooth val="0"/>
        </c:ser>
        <c:dLbls>
          <c:showLegendKey val="0"/>
          <c:showVal val="0"/>
          <c:showCatName val="0"/>
          <c:showSerName val="0"/>
          <c:showPercent val="0"/>
          <c:showBubbleSize val="0"/>
        </c:dLbls>
        <c:axId val="548923448"/>
        <c:axId val="433669224"/>
      </c:scatterChart>
      <c:scatterChart>
        <c:scatterStyle val="lineMarker"/>
        <c:varyColors val="0"/>
        <c:ser>
          <c:idx val="2"/>
          <c:order val="1"/>
          <c:tx>
            <c:v>Net Power</c:v>
          </c:tx>
          <c:spPr>
            <a:ln w="28575" cmpd="sng">
              <a:solidFill>
                <a:schemeClr val="tx1"/>
              </a:solidFill>
              <a:prstDash val="solid"/>
            </a:ln>
          </c:spPr>
          <c:marker>
            <c:symbol val="none"/>
          </c:marker>
          <c:xVal>
            <c:numRef>
              <c:f>'Const P_profile T,P'!$A$7:$A$98</c:f>
              <c:numCache>
                <c:formatCode>General</c:formatCode>
                <c:ptCount val="92"/>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numCache>
            </c:numRef>
          </c:xVal>
          <c:yVal>
            <c:numRef>
              <c:f>'Const P_profile T,P'!$D$7:$D$98</c:f>
              <c:numCache>
                <c:formatCode>General</c:formatCode>
                <c:ptCount val="92"/>
                <c:pt idx="0">
                  <c:v>-0.0371511161546517</c:v>
                </c:pt>
                <c:pt idx="1">
                  <c:v>25.73419200694816</c:v>
                </c:pt>
                <c:pt idx="2">
                  <c:v>27.56856114572251</c:v>
                </c:pt>
                <c:pt idx="3">
                  <c:v>28.21299454221133</c:v>
                </c:pt>
                <c:pt idx="4">
                  <c:v>27.80580200585577</c:v>
                </c:pt>
                <c:pt idx="5">
                  <c:v>28.03756925213526</c:v>
                </c:pt>
                <c:pt idx="6">
                  <c:v>28.33814170030723</c:v>
                </c:pt>
                <c:pt idx="7">
                  <c:v>28.45909808602829</c:v>
                </c:pt>
                <c:pt idx="8">
                  <c:v>28.99314162637091</c:v>
                </c:pt>
                <c:pt idx="9">
                  <c:v>27.85726414689822</c:v>
                </c:pt>
                <c:pt idx="10">
                  <c:v>28.24201631416705</c:v>
                </c:pt>
                <c:pt idx="11">
                  <c:v>28.88106295796408</c:v>
                </c:pt>
                <c:pt idx="12">
                  <c:v>29.41205064368463</c:v>
                </c:pt>
                <c:pt idx="13">
                  <c:v>29.10966447399293</c:v>
                </c:pt>
                <c:pt idx="14">
                  <c:v>29.27468139723943</c:v>
                </c:pt>
                <c:pt idx="15">
                  <c:v>29.90496499396143</c:v>
                </c:pt>
                <c:pt idx="16">
                  <c:v>28.86147013755129</c:v>
                </c:pt>
                <c:pt idx="17">
                  <c:v>30.18510313884245</c:v>
                </c:pt>
                <c:pt idx="18">
                  <c:v>30.05480320874931</c:v>
                </c:pt>
                <c:pt idx="19">
                  <c:v>30.40834756734319</c:v>
                </c:pt>
                <c:pt idx="20">
                  <c:v>31.11201263107579</c:v>
                </c:pt>
                <c:pt idx="21">
                  <c:v>30.47873557243548</c:v>
                </c:pt>
                <c:pt idx="22">
                  <c:v>30.45794278128733</c:v>
                </c:pt>
                <c:pt idx="23">
                  <c:v>30.4570157673873</c:v>
                </c:pt>
                <c:pt idx="24">
                  <c:v>31.17478979865933</c:v>
                </c:pt>
                <c:pt idx="25">
                  <c:v>31.31090453865083</c:v>
                </c:pt>
                <c:pt idx="26">
                  <c:v>30.76953774916878</c:v>
                </c:pt>
                <c:pt idx="27">
                  <c:v>31.37441025110849</c:v>
                </c:pt>
                <c:pt idx="28">
                  <c:v>31.71795128561237</c:v>
                </c:pt>
                <c:pt idx="29">
                  <c:v>31.6310839128227</c:v>
                </c:pt>
                <c:pt idx="30">
                  <c:v>31.3949464491911</c:v>
                </c:pt>
                <c:pt idx="31">
                  <c:v>30.7338821729567</c:v>
                </c:pt>
                <c:pt idx="32">
                  <c:v>31.88326551030103</c:v>
                </c:pt>
                <c:pt idx="33">
                  <c:v>32.46946209055901</c:v>
                </c:pt>
                <c:pt idx="34">
                  <c:v>31.65707111238815</c:v>
                </c:pt>
                <c:pt idx="35">
                  <c:v>32.7681370184253</c:v>
                </c:pt>
                <c:pt idx="36">
                  <c:v>32.79128239197127</c:v>
                </c:pt>
                <c:pt idx="37">
                  <c:v>32.60053526432153</c:v>
                </c:pt>
                <c:pt idx="38">
                  <c:v>33.03737755285492</c:v>
                </c:pt>
                <c:pt idx="39">
                  <c:v>32.53777845092608</c:v>
                </c:pt>
                <c:pt idx="40">
                  <c:v>32.23186713508214</c:v>
                </c:pt>
                <c:pt idx="41">
                  <c:v>33.98997960349</c:v>
                </c:pt>
                <c:pt idx="42">
                  <c:v>32.2759617302873</c:v>
                </c:pt>
                <c:pt idx="43">
                  <c:v>33.03356123001132</c:v>
                </c:pt>
                <c:pt idx="44">
                  <c:v>34.04950151938208</c:v>
                </c:pt>
                <c:pt idx="45">
                  <c:v>33.2361143600598</c:v>
                </c:pt>
                <c:pt idx="46">
                  <c:v>33.28121311725295</c:v>
                </c:pt>
                <c:pt idx="47">
                  <c:v>33.42445569973285</c:v>
                </c:pt>
                <c:pt idx="48">
                  <c:v>32.71641110767217</c:v>
                </c:pt>
                <c:pt idx="49">
                  <c:v>33.6886383041643</c:v>
                </c:pt>
                <c:pt idx="50">
                  <c:v>34.34946061886605</c:v>
                </c:pt>
                <c:pt idx="51">
                  <c:v>33.30906458363683</c:v>
                </c:pt>
                <c:pt idx="52">
                  <c:v>33.61227720257723</c:v>
                </c:pt>
                <c:pt idx="53">
                  <c:v>33.85928434373019</c:v>
                </c:pt>
                <c:pt idx="54">
                  <c:v>34.26179339961858</c:v>
                </c:pt>
                <c:pt idx="55">
                  <c:v>34.28525296432422</c:v>
                </c:pt>
                <c:pt idx="56">
                  <c:v>34.47765339256531</c:v>
                </c:pt>
                <c:pt idx="57">
                  <c:v>35.00060484384984</c:v>
                </c:pt>
                <c:pt idx="58">
                  <c:v>33.6801118980634</c:v>
                </c:pt>
                <c:pt idx="59">
                  <c:v>34.79141311493506</c:v>
                </c:pt>
                <c:pt idx="60">
                  <c:v>34.00670520138348</c:v>
                </c:pt>
                <c:pt idx="61">
                  <c:v>33.88581306445298</c:v>
                </c:pt>
                <c:pt idx="62">
                  <c:v>33.53051032424946</c:v>
                </c:pt>
                <c:pt idx="63">
                  <c:v>35.02857775502221</c:v>
                </c:pt>
                <c:pt idx="64">
                  <c:v>33.59467009377144</c:v>
                </c:pt>
                <c:pt idx="65">
                  <c:v>34.93754355236779</c:v>
                </c:pt>
                <c:pt idx="66">
                  <c:v>35.2280098536144</c:v>
                </c:pt>
                <c:pt idx="67">
                  <c:v>35.36493334894426</c:v>
                </c:pt>
                <c:pt idx="68">
                  <c:v>35.6671830402181</c:v>
                </c:pt>
                <c:pt idx="69">
                  <c:v>35.5098195189433</c:v>
                </c:pt>
                <c:pt idx="70">
                  <c:v>35.29040817915201</c:v>
                </c:pt>
                <c:pt idx="71">
                  <c:v>34.38628331442435</c:v>
                </c:pt>
                <c:pt idx="72">
                  <c:v>35.3747443287594</c:v>
                </c:pt>
                <c:pt idx="73">
                  <c:v>35.2908029828719</c:v>
                </c:pt>
                <c:pt idx="74">
                  <c:v>35.44784393005402</c:v>
                </c:pt>
                <c:pt idx="75">
                  <c:v>35.18624123801825</c:v>
                </c:pt>
                <c:pt idx="76">
                  <c:v>34.56333623034601</c:v>
                </c:pt>
                <c:pt idx="77">
                  <c:v>36.0615028956315</c:v>
                </c:pt>
                <c:pt idx="78">
                  <c:v>34.90815837409262</c:v>
                </c:pt>
                <c:pt idx="79">
                  <c:v>35.07708327595508</c:v>
                </c:pt>
                <c:pt idx="80">
                  <c:v>35.14664842012186</c:v>
                </c:pt>
                <c:pt idx="81">
                  <c:v>34.99000719512026</c:v>
                </c:pt>
                <c:pt idx="82">
                  <c:v>35.29888045163077</c:v>
                </c:pt>
                <c:pt idx="83">
                  <c:v>34.2666367750676</c:v>
                </c:pt>
                <c:pt idx="84">
                  <c:v>35.13323780634502</c:v>
                </c:pt>
                <c:pt idx="85">
                  <c:v>35.58048846170733</c:v>
                </c:pt>
                <c:pt idx="86">
                  <c:v>35.20283221358027</c:v>
                </c:pt>
                <c:pt idx="87">
                  <c:v>35.88865711585444</c:v>
                </c:pt>
                <c:pt idx="88">
                  <c:v>34.42059925525712</c:v>
                </c:pt>
                <c:pt idx="89">
                  <c:v>35.25582141581499</c:v>
                </c:pt>
                <c:pt idx="90">
                  <c:v>35.0561929825298</c:v>
                </c:pt>
                <c:pt idx="91">
                  <c:v>36.16387421125084</c:v>
                </c:pt>
              </c:numCache>
            </c:numRef>
          </c:yVal>
          <c:smooth val="0"/>
        </c:ser>
        <c:dLbls>
          <c:showLegendKey val="0"/>
          <c:showVal val="0"/>
          <c:showCatName val="0"/>
          <c:showSerName val="0"/>
          <c:showPercent val="0"/>
          <c:showBubbleSize val="0"/>
        </c:dLbls>
        <c:axId val="629429496"/>
        <c:axId val="640828792"/>
      </c:scatterChart>
      <c:valAx>
        <c:axId val="548923448"/>
        <c:scaling>
          <c:orientation val="minMax"/>
          <c:min val="0.0"/>
        </c:scaling>
        <c:delete val="0"/>
        <c:axPos val="b"/>
        <c:title>
          <c:tx>
            <c:rich>
              <a:bodyPr/>
              <a:lstStyle/>
              <a:p>
                <a:pPr>
                  <a:defRPr/>
                </a:pPr>
                <a:r>
                  <a:rPr lang="en-CA"/>
                  <a:t>Time (sec)</a:t>
                </a:r>
              </a:p>
            </c:rich>
          </c:tx>
          <c:layout/>
          <c:overlay val="0"/>
        </c:title>
        <c:numFmt formatCode="General" sourceLinked="1"/>
        <c:majorTickMark val="out"/>
        <c:minorTickMark val="none"/>
        <c:tickLblPos val="nextTo"/>
        <c:crossAx val="433669224"/>
        <c:crosses val="autoZero"/>
        <c:crossBetween val="midCat"/>
      </c:valAx>
      <c:valAx>
        <c:axId val="433669224"/>
        <c:scaling>
          <c:orientation val="minMax"/>
          <c:max val="250.0"/>
        </c:scaling>
        <c:delete val="0"/>
        <c:axPos val="l"/>
        <c:title>
          <c:tx>
            <c:rich>
              <a:bodyPr rot="-5400000" vert="horz"/>
              <a:lstStyle/>
              <a:p>
                <a:pPr>
                  <a:defRPr/>
                </a:pPr>
                <a:r>
                  <a:rPr lang="en-CA"/>
                  <a:t>Temperature (°C)</a:t>
                </a:r>
              </a:p>
            </c:rich>
          </c:tx>
          <c:layout/>
          <c:overlay val="0"/>
        </c:title>
        <c:numFmt formatCode="General" sourceLinked="1"/>
        <c:majorTickMark val="out"/>
        <c:minorTickMark val="none"/>
        <c:tickLblPos val="nextTo"/>
        <c:crossAx val="548923448"/>
        <c:crosses val="autoZero"/>
        <c:crossBetween val="midCat"/>
      </c:valAx>
      <c:valAx>
        <c:axId val="640828792"/>
        <c:scaling>
          <c:orientation val="minMax"/>
          <c:max val="100.0"/>
          <c:min val="0.0"/>
        </c:scaling>
        <c:delete val="0"/>
        <c:axPos val="r"/>
        <c:title>
          <c:tx>
            <c:rich>
              <a:bodyPr rot="-5400000" vert="horz"/>
              <a:lstStyle/>
              <a:p>
                <a:pPr>
                  <a:defRPr/>
                </a:pPr>
                <a:r>
                  <a:rPr lang="en-CA"/>
                  <a:t>Net Power (W)</a:t>
                </a:r>
              </a:p>
            </c:rich>
          </c:tx>
          <c:layout>
            <c:manualLayout>
              <c:xMode val="edge"/>
              <c:yMode val="edge"/>
              <c:x val="0.944263779527559"/>
              <c:y val="0.268589603382916"/>
            </c:manualLayout>
          </c:layout>
          <c:overlay val="0"/>
        </c:title>
        <c:numFmt formatCode="General" sourceLinked="1"/>
        <c:majorTickMark val="out"/>
        <c:minorTickMark val="none"/>
        <c:tickLblPos val="nextTo"/>
        <c:crossAx val="629429496"/>
        <c:crosses val="max"/>
        <c:crossBetween val="midCat"/>
      </c:valAx>
      <c:valAx>
        <c:axId val="629429496"/>
        <c:scaling>
          <c:orientation val="minMax"/>
        </c:scaling>
        <c:delete val="1"/>
        <c:axPos val="b"/>
        <c:numFmt formatCode="General" sourceLinked="1"/>
        <c:majorTickMark val="out"/>
        <c:minorTickMark val="none"/>
        <c:tickLblPos val="none"/>
        <c:crossAx val="640828792"/>
        <c:crosses val="autoZero"/>
        <c:crossBetween val="midCat"/>
      </c:valAx>
    </c:plotArea>
    <c:legend>
      <c:legendPos val="r"/>
      <c:legendEntry>
        <c:idx val="2"/>
        <c:delete val="1"/>
      </c:legendEntry>
      <c:layout>
        <c:manualLayout>
          <c:xMode val="edge"/>
          <c:yMode val="edge"/>
          <c:x val="0.426219799448146"/>
          <c:y val="0.029943684223938"/>
          <c:w val="0.391555555555556"/>
          <c:h val="0.22117125984252"/>
        </c:manualLayout>
      </c:layout>
      <c:overlay val="0"/>
    </c:legend>
    <c:plotVisOnly val="1"/>
    <c:dispBlanksAs val="gap"/>
    <c:showDLblsOverMax val="0"/>
  </c:chart>
  <c:txPr>
    <a:bodyPr/>
    <a:lstStyle/>
    <a:p>
      <a:pPr>
        <a:defRPr sz="1200">
          <a:latin typeface="+mj-lt"/>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7961504812"/>
          <c:y val="0.0514005540974045"/>
          <c:w val="0.836907261592301"/>
          <c:h val="0.7069094488189"/>
        </c:manualLayout>
      </c:layout>
      <c:scatterChart>
        <c:scatterStyle val="lineMarker"/>
        <c:varyColors val="0"/>
        <c:ser>
          <c:idx val="0"/>
          <c:order val="0"/>
          <c:tx>
            <c:v>Constant Power</c:v>
          </c:tx>
          <c:spPr>
            <a:ln w="28575">
              <a:solidFill>
                <a:schemeClr val="tx1"/>
              </a:solidFill>
            </a:ln>
          </c:spPr>
          <c:marker>
            <c:symbol val="none"/>
          </c:marker>
          <c:xVal>
            <c:numRef>
              <c:f>'[Const P vs. const T.C2H4.C2H6.xlsx]Sheet2'!$A$5:$A$80</c:f>
              <c:numCache>
                <c:formatCode>General</c:formatCode>
                <c:ptCount val="76"/>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numCache>
            </c:numRef>
          </c:xVal>
          <c:yVal>
            <c:numRef>
              <c:f>'[Const P vs. const T.C2H4.C2H6.xlsx]Sheet2'!$C$5:$C$80</c:f>
              <c:numCache>
                <c:formatCode>General</c:formatCode>
                <c:ptCount val="76"/>
                <c:pt idx="0">
                  <c:v>0.0</c:v>
                </c:pt>
                <c:pt idx="1">
                  <c:v>0.374000000000002</c:v>
                </c:pt>
                <c:pt idx="2">
                  <c:v>0.116</c:v>
                </c:pt>
                <c:pt idx="3">
                  <c:v>-0.0800000000000001</c:v>
                </c:pt>
                <c:pt idx="4">
                  <c:v>-0.608000000000001</c:v>
                </c:pt>
                <c:pt idx="5">
                  <c:v>3.035999999999999</c:v>
                </c:pt>
                <c:pt idx="6">
                  <c:v>4.1</c:v>
                </c:pt>
                <c:pt idx="7">
                  <c:v>3.9</c:v>
                </c:pt>
                <c:pt idx="8">
                  <c:v>3.6</c:v>
                </c:pt>
                <c:pt idx="9">
                  <c:v>3.591999999999999</c:v>
                </c:pt>
                <c:pt idx="10">
                  <c:v>3.402</c:v>
                </c:pt>
                <c:pt idx="11">
                  <c:v>3.359999999999998</c:v>
                </c:pt>
                <c:pt idx="12">
                  <c:v>3.520000000000003</c:v>
                </c:pt>
                <c:pt idx="13">
                  <c:v>3.269</c:v>
                </c:pt>
                <c:pt idx="14">
                  <c:v>3.329999999999998</c:v>
                </c:pt>
                <c:pt idx="15">
                  <c:v>3.495000000000004</c:v>
                </c:pt>
                <c:pt idx="16">
                  <c:v>3.421999999999997</c:v>
                </c:pt>
                <c:pt idx="17">
                  <c:v>3.346000000000003</c:v>
                </c:pt>
                <c:pt idx="18">
                  <c:v>3.244</c:v>
                </c:pt>
                <c:pt idx="19">
                  <c:v>3.494</c:v>
                </c:pt>
                <c:pt idx="20">
                  <c:v>3.423999999999994</c:v>
                </c:pt>
                <c:pt idx="21">
                  <c:v>3.18</c:v>
                </c:pt>
                <c:pt idx="22">
                  <c:v>3.319000000000017</c:v>
                </c:pt>
                <c:pt idx="23">
                  <c:v>3.153999999999998</c:v>
                </c:pt>
                <c:pt idx="24">
                  <c:v>3.337999999999994</c:v>
                </c:pt>
                <c:pt idx="25">
                  <c:v>3.338999999999998</c:v>
                </c:pt>
                <c:pt idx="26">
                  <c:v>3.194999999999993</c:v>
                </c:pt>
                <c:pt idx="27">
                  <c:v>3.135000000000019</c:v>
                </c:pt>
                <c:pt idx="28">
                  <c:v>3.0</c:v>
                </c:pt>
                <c:pt idx="29">
                  <c:v>3.063999999999995</c:v>
                </c:pt>
                <c:pt idx="30">
                  <c:v>3.060000000000003</c:v>
                </c:pt>
                <c:pt idx="31">
                  <c:v>2.919999999999978</c:v>
                </c:pt>
                <c:pt idx="32">
                  <c:v>2.877000000000009</c:v>
                </c:pt>
                <c:pt idx="33">
                  <c:v>2.935</c:v>
                </c:pt>
                <c:pt idx="34">
                  <c:v>2.887</c:v>
                </c:pt>
                <c:pt idx="35">
                  <c:v>2.826999999999998</c:v>
                </c:pt>
                <c:pt idx="36">
                  <c:v>2.709000000000003</c:v>
                </c:pt>
                <c:pt idx="37">
                  <c:v>2.787999999999985</c:v>
                </c:pt>
                <c:pt idx="38">
                  <c:v>2.730999999999994</c:v>
                </c:pt>
                <c:pt idx="39">
                  <c:v>2.62900000000002</c:v>
                </c:pt>
                <c:pt idx="40">
                  <c:v>2.692999999999983</c:v>
                </c:pt>
                <c:pt idx="41">
                  <c:v>2.320999999999998</c:v>
                </c:pt>
                <c:pt idx="42">
                  <c:v>2.567000000000008</c:v>
                </c:pt>
                <c:pt idx="43">
                  <c:v>2.561000000000007</c:v>
                </c:pt>
                <c:pt idx="44">
                  <c:v>2.325999999999993</c:v>
                </c:pt>
                <c:pt idx="45">
                  <c:v>2.401999999999987</c:v>
                </c:pt>
                <c:pt idx="46">
                  <c:v>2.408000000000015</c:v>
                </c:pt>
                <c:pt idx="47">
                  <c:v>2.320999999999998</c:v>
                </c:pt>
                <c:pt idx="48">
                  <c:v>2.171999999999997</c:v>
                </c:pt>
                <c:pt idx="49">
                  <c:v>2.28800000000002</c:v>
                </c:pt>
                <c:pt idx="50">
                  <c:v>2.144999999999982</c:v>
                </c:pt>
                <c:pt idx="51">
                  <c:v>2.169000000000011</c:v>
                </c:pt>
                <c:pt idx="52">
                  <c:v>2.251000000000005</c:v>
                </c:pt>
                <c:pt idx="53">
                  <c:v>1.951999999999989</c:v>
                </c:pt>
                <c:pt idx="54">
                  <c:v>2.205999999999989</c:v>
                </c:pt>
                <c:pt idx="55">
                  <c:v>1.89100000000002</c:v>
                </c:pt>
                <c:pt idx="56">
                  <c:v>2.150999999999982</c:v>
                </c:pt>
                <c:pt idx="57">
                  <c:v>1.968000000000025</c:v>
                </c:pt>
                <c:pt idx="58">
                  <c:v>1.881</c:v>
                </c:pt>
                <c:pt idx="59">
                  <c:v>1.947999999999975</c:v>
                </c:pt>
                <c:pt idx="60">
                  <c:v>2.061000000000007</c:v>
                </c:pt>
                <c:pt idx="61">
                  <c:v>1.768000000000001</c:v>
                </c:pt>
                <c:pt idx="62">
                  <c:v>1.956999999999993</c:v>
                </c:pt>
                <c:pt idx="63">
                  <c:v>1.79699999999999</c:v>
                </c:pt>
                <c:pt idx="64">
                  <c:v>1.888000000000006</c:v>
                </c:pt>
                <c:pt idx="65">
                  <c:v>1.867999999999987</c:v>
                </c:pt>
                <c:pt idx="66">
                  <c:v>1.616000000000014</c:v>
                </c:pt>
                <c:pt idx="67">
                  <c:v>1.823000000000007</c:v>
                </c:pt>
                <c:pt idx="68">
                  <c:v>1.660999999999972</c:v>
                </c:pt>
                <c:pt idx="69">
                  <c:v>1.802000000000021</c:v>
                </c:pt>
                <c:pt idx="70">
                  <c:v>1.638000000000006</c:v>
                </c:pt>
                <c:pt idx="71">
                  <c:v>1.798999999999971</c:v>
                </c:pt>
                <c:pt idx="72">
                  <c:v>1.703000000000003</c:v>
                </c:pt>
                <c:pt idx="73">
                  <c:v>1.590000000000004</c:v>
                </c:pt>
                <c:pt idx="74">
                  <c:v>1.723000000000013</c:v>
                </c:pt>
                <c:pt idx="75">
                  <c:v>1.71</c:v>
                </c:pt>
              </c:numCache>
            </c:numRef>
          </c:yVal>
          <c:smooth val="0"/>
        </c:ser>
        <c:dLbls>
          <c:showLegendKey val="0"/>
          <c:showVal val="0"/>
          <c:showCatName val="0"/>
          <c:showSerName val="0"/>
          <c:showPercent val="0"/>
          <c:showBubbleSize val="0"/>
        </c:dLbls>
        <c:axId val="433710664"/>
        <c:axId val="548907912"/>
      </c:scatterChart>
      <c:valAx>
        <c:axId val="433710664"/>
        <c:scaling>
          <c:orientation val="minMax"/>
          <c:max val="100.0"/>
        </c:scaling>
        <c:delete val="0"/>
        <c:axPos val="b"/>
        <c:title>
          <c:tx>
            <c:rich>
              <a:bodyPr/>
              <a:lstStyle/>
              <a:p>
                <a:pPr>
                  <a:defRPr/>
                </a:pPr>
                <a:r>
                  <a:rPr lang="en-CA"/>
                  <a:t>Time (sec)</a:t>
                </a:r>
              </a:p>
            </c:rich>
          </c:tx>
          <c:layout/>
          <c:overlay val="0"/>
        </c:title>
        <c:numFmt formatCode="General" sourceLinked="1"/>
        <c:majorTickMark val="out"/>
        <c:minorTickMark val="none"/>
        <c:tickLblPos val="nextTo"/>
        <c:crossAx val="548907912"/>
        <c:crosses val="autoZero"/>
        <c:crossBetween val="midCat"/>
        <c:majorUnit val="20.0"/>
      </c:valAx>
      <c:valAx>
        <c:axId val="548907912"/>
        <c:scaling>
          <c:orientation val="minMax"/>
          <c:max val="5.0"/>
          <c:min val="0.0"/>
        </c:scaling>
        <c:delete val="0"/>
        <c:axPos val="l"/>
        <c:title>
          <c:tx>
            <c:rich>
              <a:bodyPr rot="-5400000" vert="horz"/>
              <a:lstStyle/>
              <a:p>
                <a:pPr>
                  <a:defRPr/>
                </a:pPr>
                <a:r>
                  <a:rPr lang="en-CA"/>
                  <a:t>Desorption rate (ml/sec)</a:t>
                </a:r>
              </a:p>
            </c:rich>
          </c:tx>
          <c:layout/>
          <c:overlay val="0"/>
        </c:title>
        <c:numFmt formatCode="#,##0" sourceLinked="0"/>
        <c:majorTickMark val="out"/>
        <c:minorTickMark val="none"/>
        <c:tickLblPos val="nextTo"/>
        <c:crossAx val="433710664"/>
        <c:crosses val="autoZero"/>
        <c:crossBetween val="midCat"/>
        <c:majorUnit val="1.0"/>
      </c:valAx>
    </c:plotArea>
    <c:plotVisOnly val="1"/>
    <c:dispBlanksAs val="gap"/>
    <c:showDLblsOverMax val="0"/>
  </c:chart>
  <c:txPr>
    <a:bodyPr/>
    <a:lstStyle/>
    <a:p>
      <a:pPr>
        <a:defRPr sz="1200">
          <a:latin typeface="+mj-lt"/>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763629130462"/>
          <c:y val="0.0557061096529601"/>
          <c:w val="0.855337592967235"/>
          <c:h val="0.736193489832463"/>
        </c:manualLayout>
      </c:layout>
      <c:barChart>
        <c:barDir val="col"/>
        <c:grouping val="clustered"/>
        <c:varyColors val="0"/>
        <c:ser>
          <c:idx val="0"/>
          <c:order val="0"/>
          <c:tx>
            <c:v>Water desorption- microwave drying</c:v>
          </c:tx>
          <c:spPr>
            <a:solidFill>
              <a:schemeClr val="tx1"/>
            </a:solidFill>
            <a:ln>
              <a:solidFill>
                <a:prstClr val="black"/>
              </a:solidFill>
            </a:ln>
          </c:spPr>
          <c:invertIfNegative val="0"/>
          <c:val>
            <c:numRef>
              <c:f>'Gas recovery'!$B$26:$B$30</c:f>
              <c:numCache>
                <c:formatCode>0</c:formatCode>
                <c:ptCount val="5"/>
                <c:pt idx="0">
                  <c:v>100.0</c:v>
                </c:pt>
                <c:pt idx="1">
                  <c:v>18.25</c:v>
                </c:pt>
                <c:pt idx="2">
                  <c:v>21.0</c:v>
                </c:pt>
                <c:pt idx="3">
                  <c:v>17.5</c:v>
                </c:pt>
                <c:pt idx="4">
                  <c:v>20.0</c:v>
                </c:pt>
              </c:numCache>
            </c:numRef>
          </c:val>
        </c:ser>
        <c:ser>
          <c:idx val="1"/>
          <c:order val="1"/>
          <c:tx>
            <c:v>Constant power microwave</c:v>
          </c:tx>
          <c:spPr>
            <a:solidFill>
              <a:schemeClr val="bg1"/>
            </a:solidFill>
            <a:ln>
              <a:solidFill>
                <a:prstClr val="black"/>
              </a:solidFill>
            </a:ln>
          </c:spPr>
          <c:invertIfNegative val="0"/>
          <c:val>
            <c:numRef>
              <c:f>'Gas recovery'!$C$26:$C$30</c:f>
              <c:numCache>
                <c:formatCode>0</c:formatCode>
                <c:ptCount val="5"/>
                <c:pt idx="0">
                  <c:v>40.2948402948403</c:v>
                </c:pt>
                <c:pt idx="1">
                  <c:v>43.73464373464373</c:v>
                </c:pt>
                <c:pt idx="2">
                  <c:v>60.44226044226025</c:v>
                </c:pt>
                <c:pt idx="3">
                  <c:v>47.66584766584738</c:v>
                </c:pt>
                <c:pt idx="4">
                  <c:v>45.94594594594601</c:v>
                </c:pt>
              </c:numCache>
            </c:numRef>
          </c:val>
        </c:ser>
        <c:dLbls>
          <c:showLegendKey val="0"/>
          <c:showVal val="0"/>
          <c:showCatName val="0"/>
          <c:showSerName val="0"/>
          <c:showPercent val="0"/>
          <c:showBubbleSize val="0"/>
        </c:dLbls>
        <c:gapWidth val="150"/>
        <c:axId val="635803992"/>
        <c:axId val="529486680"/>
      </c:barChart>
      <c:catAx>
        <c:axId val="635803992"/>
        <c:scaling>
          <c:orientation val="minMax"/>
        </c:scaling>
        <c:delete val="0"/>
        <c:axPos val="b"/>
        <c:title>
          <c:tx>
            <c:rich>
              <a:bodyPr/>
              <a:lstStyle/>
              <a:p>
                <a:pPr>
                  <a:defRPr/>
                </a:pPr>
                <a:r>
                  <a:rPr lang="en-CA"/>
                  <a:t>Cycles</a:t>
                </a:r>
              </a:p>
            </c:rich>
          </c:tx>
          <c:layout/>
          <c:overlay val="0"/>
        </c:title>
        <c:majorTickMark val="out"/>
        <c:minorTickMark val="none"/>
        <c:tickLblPos val="nextTo"/>
        <c:crossAx val="529486680"/>
        <c:crosses val="autoZero"/>
        <c:auto val="1"/>
        <c:lblAlgn val="ctr"/>
        <c:lblOffset val="100"/>
        <c:noMultiLvlLbl val="0"/>
      </c:catAx>
      <c:valAx>
        <c:axId val="529486680"/>
        <c:scaling>
          <c:orientation val="minMax"/>
        </c:scaling>
        <c:delete val="0"/>
        <c:axPos val="l"/>
        <c:title>
          <c:tx>
            <c:rich>
              <a:bodyPr rot="-5400000" vert="horz"/>
              <a:lstStyle/>
              <a:p>
                <a:pPr>
                  <a:defRPr/>
                </a:pPr>
                <a:r>
                  <a:rPr lang="en-CA"/>
                  <a:t>Gas recovery (%)</a:t>
                </a:r>
              </a:p>
            </c:rich>
          </c:tx>
          <c:layout/>
          <c:overlay val="0"/>
        </c:title>
        <c:numFmt formatCode="0" sourceLinked="1"/>
        <c:majorTickMark val="out"/>
        <c:minorTickMark val="none"/>
        <c:tickLblPos val="nextTo"/>
        <c:crossAx val="635803992"/>
        <c:crosses val="autoZero"/>
        <c:crossBetween val="between"/>
      </c:valAx>
    </c:plotArea>
    <c:legend>
      <c:legendPos val="r"/>
      <c:layout>
        <c:manualLayout>
          <c:xMode val="edge"/>
          <c:yMode val="edge"/>
          <c:x val="0.284723270751784"/>
          <c:y val="0.0537483014082717"/>
          <c:w val="0.616693883689683"/>
          <c:h val="0.207729739890584"/>
        </c:manualLayout>
      </c:layout>
      <c:overlay val="0"/>
    </c:legend>
    <c:plotVisOnly val="1"/>
    <c:dispBlanksAs val="gap"/>
    <c:showDLblsOverMax val="0"/>
  </c:chart>
  <c:txPr>
    <a:bodyPr/>
    <a:lstStyle/>
    <a:p>
      <a:pPr>
        <a:defRPr sz="1200">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87640286613"/>
          <c:y val="0.188686118116605"/>
          <c:w val="0.76276056378287"/>
          <c:h val="0.612130715682809"/>
        </c:manualLayout>
      </c:layout>
      <c:barChart>
        <c:barDir val="col"/>
        <c:grouping val="clustered"/>
        <c:varyColors val="0"/>
        <c:ser>
          <c:idx val="0"/>
          <c:order val="0"/>
          <c:tx>
            <c:strRef>
              <c:f>Sheet1!$A$5</c:f>
              <c:strCache>
                <c:ptCount val="1"/>
                <c:pt idx="0">
                  <c:v>Water desorption- microwave drying</c:v>
                </c:pt>
              </c:strCache>
            </c:strRef>
          </c:tx>
          <c:spPr>
            <a:solidFill>
              <a:schemeClr val="tx1"/>
            </a:solidFill>
          </c:spPr>
          <c:invertIfNegative val="0"/>
          <c:val>
            <c:numRef>
              <c:f>Sheet1!$B$5:$F$5</c:f>
              <c:numCache>
                <c:formatCode>#,##0.000</c:formatCode>
                <c:ptCount val="5"/>
                <c:pt idx="0">
                  <c:v>1.453</c:v>
                </c:pt>
                <c:pt idx="1">
                  <c:v>8.903</c:v>
                </c:pt>
                <c:pt idx="2">
                  <c:v>7.690999999999994</c:v>
                </c:pt>
                <c:pt idx="3">
                  <c:v>9.030000000000001</c:v>
                </c:pt>
                <c:pt idx="4">
                  <c:v>7.649999999999998</c:v>
                </c:pt>
              </c:numCache>
            </c:numRef>
          </c:val>
        </c:ser>
        <c:ser>
          <c:idx val="1"/>
          <c:order val="1"/>
          <c:tx>
            <c:strRef>
              <c:f>Sheet1!$A$6</c:f>
              <c:strCache>
                <c:ptCount val="1"/>
                <c:pt idx="0">
                  <c:v>Constant power  microwave </c:v>
                </c:pt>
              </c:strCache>
            </c:strRef>
          </c:tx>
          <c:spPr>
            <a:noFill/>
            <a:ln>
              <a:solidFill>
                <a:schemeClr val="tx1"/>
              </a:solidFill>
            </a:ln>
          </c:spPr>
          <c:invertIfNegative val="0"/>
          <c:val>
            <c:numRef>
              <c:f>Sheet1!$B$6:$F$6</c:f>
              <c:numCache>
                <c:formatCode>#,##0.000</c:formatCode>
                <c:ptCount val="5"/>
                <c:pt idx="0">
                  <c:v>0.387</c:v>
                </c:pt>
                <c:pt idx="1">
                  <c:v>0.399</c:v>
                </c:pt>
                <c:pt idx="2">
                  <c:v>0.476</c:v>
                </c:pt>
                <c:pt idx="3">
                  <c:v>0.428</c:v>
                </c:pt>
                <c:pt idx="4">
                  <c:v>0.404</c:v>
                </c:pt>
              </c:numCache>
            </c:numRef>
          </c:val>
        </c:ser>
        <c:dLbls>
          <c:showLegendKey val="0"/>
          <c:showVal val="0"/>
          <c:showCatName val="0"/>
          <c:showSerName val="0"/>
          <c:showPercent val="0"/>
          <c:showBubbleSize val="0"/>
        </c:dLbls>
        <c:gapWidth val="150"/>
        <c:axId val="569344616"/>
        <c:axId val="635972024"/>
      </c:barChart>
      <c:catAx>
        <c:axId val="569344616"/>
        <c:scaling>
          <c:orientation val="minMax"/>
        </c:scaling>
        <c:delete val="0"/>
        <c:axPos val="b"/>
        <c:title>
          <c:tx>
            <c:rich>
              <a:bodyPr/>
              <a:lstStyle/>
              <a:p>
                <a:pPr>
                  <a:defRPr/>
                </a:pPr>
                <a:r>
                  <a:rPr lang="en-US"/>
                  <a:t>Cycles</a:t>
                </a:r>
              </a:p>
            </c:rich>
          </c:tx>
          <c:layout/>
          <c:overlay val="0"/>
        </c:title>
        <c:majorTickMark val="out"/>
        <c:minorTickMark val="none"/>
        <c:tickLblPos val="nextTo"/>
        <c:crossAx val="635972024"/>
        <c:crosses val="autoZero"/>
        <c:auto val="1"/>
        <c:lblAlgn val="ctr"/>
        <c:lblOffset val="100"/>
        <c:noMultiLvlLbl val="0"/>
      </c:catAx>
      <c:valAx>
        <c:axId val="635972024"/>
        <c:scaling>
          <c:orientation val="minMax"/>
        </c:scaling>
        <c:delete val="0"/>
        <c:axPos val="l"/>
        <c:majorGridlines>
          <c:spPr>
            <a:ln>
              <a:noFill/>
            </a:ln>
          </c:spPr>
        </c:majorGridlines>
        <c:title>
          <c:tx>
            <c:rich>
              <a:bodyPr rot="-5400000" vert="horz"/>
              <a:lstStyle/>
              <a:p>
                <a:pPr>
                  <a:defRPr/>
                </a:pPr>
                <a:r>
                  <a:rPr lang="en-CA"/>
                  <a:t>Energy consumption ( kJ/mmol)</a:t>
                </a:r>
              </a:p>
            </c:rich>
          </c:tx>
          <c:layout>
            <c:manualLayout>
              <c:xMode val="edge"/>
              <c:yMode val="edge"/>
              <c:x val="0.00137450359358049"/>
              <c:y val="0.1820942196009"/>
            </c:manualLayout>
          </c:layout>
          <c:overlay val="0"/>
        </c:title>
        <c:numFmt formatCode="#,##0.0" sourceLinked="0"/>
        <c:majorTickMark val="out"/>
        <c:minorTickMark val="none"/>
        <c:tickLblPos val="nextTo"/>
        <c:crossAx val="569344616"/>
        <c:crosses val="autoZero"/>
        <c:crossBetween val="between"/>
        <c:majorUnit val="1.0"/>
      </c:valAx>
    </c:plotArea>
    <c:legend>
      <c:legendPos val="r"/>
      <c:layout>
        <c:manualLayout>
          <c:xMode val="edge"/>
          <c:yMode val="edge"/>
          <c:x val="0.17408911361229"/>
          <c:y val="9.0082328696987E-5"/>
          <c:w val="0.70927735424722"/>
          <c:h val="0.180266859890532"/>
        </c:manualLayout>
      </c:layout>
      <c:overlay val="0"/>
    </c:legend>
    <c:plotVisOnly val="1"/>
    <c:dispBlanksAs val="gap"/>
    <c:showDLblsOverMax val="0"/>
  </c:chart>
  <c:txPr>
    <a:bodyPr/>
    <a:lstStyle/>
    <a:p>
      <a:pPr>
        <a:defRPr sz="1200">
          <a:latin typeface="+mj-lt"/>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0.48746</cdr:x>
      <cdr:y>0.11121</cdr:y>
    </cdr:from>
    <cdr:to>
      <cdr:x>0.48746</cdr:x>
      <cdr:y>0.5648</cdr:y>
    </cdr:to>
    <cdr:sp macro="" textlink="">
      <cdr:nvSpPr>
        <cdr:cNvPr id="5" name="Straight Connector 4"/>
        <cdr:cNvSpPr/>
      </cdr:nvSpPr>
      <cdr:spPr>
        <a:xfrm xmlns:a="http://schemas.openxmlformats.org/drawingml/2006/main">
          <a:off x="2799780" y="370732"/>
          <a:ext cx="0" cy="1512168"/>
        </a:xfrm>
        <a:prstGeom xmlns:a="http://schemas.openxmlformats.org/drawingml/2006/main" prst="line">
          <a:avLst/>
        </a:prstGeom>
        <a:ln xmlns:a="http://schemas.openxmlformats.org/drawingml/2006/main" w="9525">
          <a:solidFill>
            <a:schemeClr val="tx1">
              <a:lumMod val="50000"/>
              <a:lumOff val="50000"/>
            </a:schemeClr>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0.41224</cdr:x>
      <cdr:y>0.11121</cdr:y>
    </cdr:from>
    <cdr:to>
      <cdr:x>0.41224</cdr:x>
      <cdr:y>0.5864</cdr:y>
    </cdr:to>
    <cdr:sp macro="" textlink="">
      <cdr:nvSpPr>
        <cdr:cNvPr id="7" name="Straight Connector 6"/>
        <cdr:cNvSpPr/>
      </cdr:nvSpPr>
      <cdr:spPr>
        <a:xfrm xmlns:a="http://schemas.openxmlformats.org/drawingml/2006/main" flipV="1">
          <a:off x="2367732" y="370732"/>
          <a:ext cx="0" cy="1584176"/>
        </a:xfrm>
        <a:prstGeom xmlns:a="http://schemas.openxmlformats.org/drawingml/2006/main" prst="line">
          <a:avLst/>
        </a:prstGeom>
        <a:ln xmlns:a="http://schemas.openxmlformats.org/drawingml/2006/main" w="9525">
          <a:solidFill>
            <a:schemeClr val="tx1">
              <a:lumMod val="50000"/>
              <a:lumOff val="50000"/>
            </a:schemeClr>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0.23672</cdr:x>
      <cdr:y>0.4352</cdr:y>
    </cdr:from>
    <cdr:to>
      <cdr:x>0.23672</cdr:x>
      <cdr:y>0.6512</cdr:y>
    </cdr:to>
    <cdr:sp macro="" textlink="">
      <cdr:nvSpPr>
        <cdr:cNvPr id="9" name="Straight Connector 8"/>
        <cdr:cNvSpPr/>
      </cdr:nvSpPr>
      <cdr:spPr>
        <a:xfrm xmlns:a="http://schemas.openxmlformats.org/drawingml/2006/main" flipV="1">
          <a:off x="1359620" y="1450852"/>
          <a:ext cx="0" cy="720080"/>
        </a:xfrm>
        <a:prstGeom xmlns:a="http://schemas.openxmlformats.org/drawingml/2006/main" prst="line">
          <a:avLst/>
        </a:prstGeom>
        <a:ln xmlns:a="http://schemas.openxmlformats.org/drawingml/2006/main" w="9525">
          <a:solidFill>
            <a:schemeClr val="tx1">
              <a:lumMod val="50000"/>
              <a:lumOff val="50000"/>
            </a:schemeClr>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0.15686</cdr:x>
      <cdr:y>0.42472</cdr:y>
    </cdr:from>
    <cdr:to>
      <cdr:x>0.20588</cdr:x>
      <cdr:y>0.50142</cdr:y>
    </cdr:to>
    <cdr:sp macro="" textlink="">
      <cdr:nvSpPr>
        <cdr:cNvPr id="10" name="TextBox 9"/>
        <cdr:cNvSpPr txBox="1"/>
      </cdr:nvSpPr>
      <cdr:spPr>
        <a:xfrm xmlns:a="http://schemas.openxmlformats.org/drawingml/2006/main">
          <a:off x="1152128" y="1594868"/>
          <a:ext cx="360040" cy="2880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dirty="0" smtClean="0">
              <a:latin typeface="Cambria" pitchFamily="18" charset="0"/>
            </a:rPr>
            <a:t>I</a:t>
          </a:r>
          <a:endParaRPr lang="en-CA" sz="1200" dirty="0">
            <a:latin typeface="Cambria" pitchFamily="18" charset="0"/>
          </a:endParaRPr>
        </a:p>
      </cdr:txBody>
    </cdr:sp>
  </cdr:relSizeAnchor>
  <cdr:relSizeAnchor xmlns:cdr="http://schemas.openxmlformats.org/drawingml/2006/chartDrawing">
    <cdr:from>
      <cdr:x>0.2549</cdr:x>
      <cdr:y>0.29049</cdr:y>
    </cdr:from>
    <cdr:to>
      <cdr:x>0.31944</cdr:x>
      <cdr:y>0.36719</cdr:y>
    </cdr:to>
    <cdr:sp macro="" textlink="">
      <cdr:nvSpPr>
        <cdr:cNvPr id="11" name="TextBox 10"/>
        <cdr:cNvSpPr txBox="1"/>
      </cdr:nvSpPr>
      <cdr:spPr>
        <a:xfrm xmlns:a="http://schemas.openxmlformats.org/drawingml/2006/main">
          <a:off x="1281943" y="902199"/>
          <a:ext cx="324607" cy="2382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dirty="0" smtClean="0">
              <a:latin typeface="Cambria" pitchFamily="18" charset="0"/>
            </a:rPr>
            <a:t>II</a:t>
          </a:r>
          <a:endParaRPr lang="en-CA" sz="1200" dirty="0">
            <a:latin typeface="Cambria" pitchFamily="18" charset="0"/>
          </a:endParaRPr>
        </a:p>
      </cdr:txBody>
    </cdr:sp>
  </cdr:relSizeAnchor>
  <cdr:relSizeAnchor xmlns:cdr="http://schemas.openxmlformats.org/drawingml/2006/chartDrawing">
    <cdr:from>
      <cdr:x>0.42157</cdr:x>
      <cdr:y>0.02202</cdr:y>
    </cdr:from>
    <cdr:to>
      <cdr:x>0.47059</cdr:x>
      <cdr:y>0.1179</cdr:y>
    </cdr:to>
    <cdr:sp macro="" textlink="">
      <cdr:nvSpPr>
        <cdr:cNvPr id="12" name="TextBox 11"/>
        <cdr:cNvSpPr txBox="1"/>
      </cdr:nvSpPr>
      <cdr:spPr>
        <a:xfrm xmlns:a="http://schemas.openxmlformats.org/drawingml/2006/main">
          <a:off x="3096344" y="82700"/>
          <a:ext cx="360040"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dirty="0"/>
        </a:p>
      </cdr:txBody>
    </cdr:sp>
  </cdr:relSizeAnchor>
  <cdr:relSizeAnchor xmlns:cdr="http://schemas.openxmlformats.org/drawingml/2006/chartDrawing">
    <cdr:from>
      <cdr:x>0.42157</cdr:x>
      <cdr:y>0.03994</cdr:y>
    </cdr:from>
    <cdr:to>
      <cdr:x>0.5</cdr:x>
      <cdr:y>0.12061</cdr:y>
    </cdr:to>
    <cdr:sp macro="" textlink="">
      <cdr:nvSpPr>
        <cdr:cNvPr id="13" name="TextBox 12"/>
        <cdr:cNvSpPr txBox="1"/>
      </cdr:nvSpPr>
      <cdr:spPr>
        <a:xfrm xmlns:a="http://schemas.openxmlformats.org/drawingml/2006/main">
          <a:off x="2120160" y="124045"/>
          <a:ext cx="394440" cy="2505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1200" dirty="0">
              <a:latin typeface="Cambria" pitchFamily="18" charset="0"/>
            </a:rPr>
            <a:t>III</a:t>
          </a:r>
        </a:p>
      </cdr:txBody>
    </cdr:sp>
  </cdr:relSizeAnchor>
  <cdr:relSizeAnchor xmlns:cdr="http://schemas.openxmlformats.org/drawingml/2006/chartDrawing">
    <cdr:from>
      <cdr:x>0.53922</cdr:x>
      <cdr:y>0.09873</cdr:y>
    </cdr:from>
    <cdr:to>
      <cdr:x>0.6149</cdr:x>
      <cdr:y>0.17543</cdr:y>
    </cdr:to>
    <cdr:sp macro="" textlink="">
      <cdr:nvSpPr>
        <cdr:cNvPr id="14" name="TextBox 13"/>
        <cdr:cNvSpPr txBox="1"/>
      </cdr:nvSpPr>
      <cdr:spPr>
        <a:xfrm xmlns:a="http://schemas.openxmlformats.org/drawingml/2006/main">
          <a:off x="2711845" y="306634"/>
          <a:ext cx="380605" cy="2382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dirty="0" smtClean="0">
              <a:latin typeface="Cambria" pitchFamily="18" charset="0"/>
            </a:rPr>
            <a:t>IV</a:t>
          </a:r>
          <a:endParaRPr lang="en-CA" sz="1200" dirty="0">
            <a:latin typeface="Cambria"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0.19132</cdr:x>
      <cdr:y>0.06472</cdr:y>
    </cdr:from>
    <cdr:to>
      <cdr:x>0.28008</cdr:x>
      <cdr:y>0.17476</cdr:y>
    </cdr:to>
    <cdr:sp macro="" textlink="">
      <cdr:nvSpPr>
        <cdr:cNvPr id="2" name="TextBox 1"/>
        <cdr:cNvSpPr txBox="1"/>
      </cdr:nvSpPr>
      <cdr:spPr>
        <a:xfrm xmlns:a="http://schemas.openxmlformats.org/drawingml/2006/main">
          <a:off x="923926" y="190500"/>
          <a:ext cx="428625"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1200">
              <a:latin typeface="+mj-lt"/>
            </a:rPr>
            <a:t>(a)</a:t>
          </a:r>
        </a:p>
      </cdr:txBody>
    </cdr:sp>
  </cdr:relSizeAnchor>
</c:userShapes>
</file>

<file path=word/drawings/drawing3.xml><?xml version="1.0" encoding="utf-8"?>
<c:userShapes xmlns:c="http://schemas.openxmlformats.org/drawingml/2006/chart">
  <cdr:relSizeAnchor xmlns:cdr="http://schemas.openxmlformats.org/drawingml/2006/chartDrawing">
    <cdr:from>
      <cdr:x>0.20115</cdr:x>
      <cdr:y>0.07295</cdr:y>
    </cdr:from>
    <cdr:to>
      <cdr:x>0.29502</cdr:x>
      <cdr:y>0.1459</cdr:y>
    </cdr:to>
    <cdr:sp macro="" textlink="">
      <cdr:nvSpPr>
        <cdr:cNvPr id="2" name="TextBox 1"/>
        <cdr:cNvSpPr txBox="1"/>
      </cdr:nvSpPr>
      <cdr:spPr>
        <a:xfrm xmlns:a="http://schemas.openxmlformats.org/drawingml/2006/main">
          <a:off x="1000124" y="228600"/>
          <a:ext cx="4667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1200">
              <a:latin typeface="+mj-lt"/>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4A48-7BCB-014E-B827-5350C69F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3992</Words>
  <Characters>22757</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tamanna</dc:creator>
  <cp:lastModifiedBy>CME</cp:lastModifiedBy>
  <cp:revision>5</cp:revision>
  <cp:lastPrinted>2013-02-16T21:37:00Z</cp:lastPrinted>
  <dcterms:created xsi:type="dcterms:W3CDTF">2013-02-25T21:06:00Z</dcterms:created>
  <dcterms:modified xsi:type="dcterms:W3CDTF">2013-02-25T21:17:00Z</dcterms:modified>
</cp:coreProperties>
</file>