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C9ED" w14:textId="77777777" w:rsidR="003622E3" w:rsidRDefault="00000000">
      <w:pPr>
        <w:rPr>
          <w:sz w:val="40"/>
          <w:szCs w:val="40"/>
        </w:rPr>
      </w:pPr>
      <w:r>
        <w:rPr>
          <w:sz w:val="40"/>
          <w:szCs w:val="40"/>
        </w:rPr>
        <w:t xml:space="preserve">Vice-President of Research and Innovation </w:t>
      </w:r>
    </w:p>
    <w:p w14:paraId="504D71D9" w14:textId="77777777" w:rsidR="003622E3" w:rsidRDefault="00000000">
      <w:pPr>
        <w:rPr>
          <w:sz w:val="40"/>
          <w:szCs w:val="40"/>
        </w:rPr>
      </w:pPr>
      <w:r>
        <w:rPr>
          <w:sz w:val="40"/>
          <w:szCs w:val="40"/>
        </w:rPr>
        <w:t>Research Partner Network</w:t>
      </w:r>
    </w:p>
    <w:p w14:paraId="46156920" w14:textId="77777777" w:rsidR="003622E3" w:rsidRDefault="003622E3"/>
    <w:p w14:paraId="3E6EBB8E" w14:textId="77777777" w:rsidR="003622E3" w:rsidRDefault="00000000">
      <w:pPr>
        <w:rPr>
          <w:b/>
          <w:sz w:val="28"/>
          <w:szCs w:val="28"/>
          <w:u w:val="single"/>
        </w:rPr>
      </w:pPr>
      <w:r>
        <w:rPr>
          <w:b/>
          <w:sz w:val="28"/>
          <w:szCs w:val="28"/>
          <w:u w:val="single"/>
        </w:rPr>
        <w:t>In-Kind Contribution example Ideas for Research Applications – Overview and Valuation</w:t>
      </w:r>
    </w:p>
    <w:p w14:paraId="391E02A4" w14:textId="77777777" w:rsidR="003622E3" w:rsidRDefault="00000000">
      <w:r>
        <w:t xml:space="preserve">***The purpose of this document is to provide ideas for researchers about some potential in-kind contributions that may be included in a research project proposal. This is not an exhaustive list. This is also not a formal policy document and every item, their eligibility and valuation should be confirmed with the Sponsor agency. If there are any questions please reach out to your </w:t>
      </w:r>
      <w:hyperlink r:id="rId8">
        <w:r>
          <w:rPr>
            <w:color w:val="0563C1"/>
            <w:u w:val="single"/>
          </w:rPr>
          <w:t>Research Partner</w:t>
        </w:r>
      </w:hyperlink>
      <w:r>
        <w:t>.***</w:t>
      </w:r>
    </w:p>
    <w:p w14:paraId="4F580F11" w14:textId="77777777" w:rsidR="003622E3" w:rsidRDefault="00000000">
      <w:r>
        <w:t>In-Kind contributions are non monetary resources that partners, sponsoring organizations and/or the grantee’s institution provide to support the project. They are normally considered essential to the research or research-related activities and could be in the form of cash-equivalent goods or services, which would otherwise have to be purchased with project funds.</w:t>
      </w:r>
    </w:p>
    <w:p w14:paraId="0046CF94" w14:textId="77777777" w:rsidR="003622E3" w:rsidRDefault="00000000">
      <w:r>
        <w:t>Sources of Eligible In-Kind Contributions (check the sponsor guidelines to ensure the source is eligible for in-kind and cash contributions):</w:t>
      </w:r>
    </w:p>
    <w:p w14:paraId="3796106C" w14:textId="77777777" w:rsidR="003622E3" w:rsidRDefault="00000000">
      <w:pPr>
        <w:numPr>
          <w:ilvl w:val="0"/>
          <w:numId w:val="3"/>
        </w:numPr>
        <w:pBdr>
          <w:top w:val="nil"/>
          <w:left w:val="nil"/>
          <w:bottom w:val="nil"/>
          <w:right w:val="nil"/>
          <w:between w:val="nil"/>
        </w:pBdr>
        <w:spacing w:after="0"/>
      </w:pPr>
      <w:r>
        <w:rPr>
          <w:color w:val="000000"/>
        </w:rPr>
        <w:t>Host Institution</w:t>
      </w:r>
    </w:p>
    <w:p w14:paraId="1300C6CC" w14:textId="77777777" w:rsidR="003622E3" w:rsidRDefault="00000000">
      <w:pPr>
        <w:numPr>
          <w:ilvl w:val="0"/>
          <w:numId w:val="3"/>
        </w:numPr>
        <w:pBdr>
          <w:top w:val="nil"/>
          <w:left w:val="nil"/>
          <w:bottom w:val="nil"/>
          <w:right w:val="nil"/>
          <w:between w:val="nil"/>
        </w:pBdr>
        <w:spacing w:after="0"/>
      </w:pPr>
      <w:r>
        <w:rPr>
          <w:color w:val="000000"/>
        </w:rPr>
        <w:t>Other Academic Institutions</w:t>
      </w:r>
    </w:p>
    <w:p w14:paraId="1FD72D85" w14:textId="77777777" w:rsidR="003622E3" w:rsidRDefault="00000000">
      <w:pPr>
        <w:numPr>
          <w:ilvl w:val="0"/>
          <w:numId w:val="3"/>
        </w:numPr>
        <w:pBdr>
          <w:top w:val="nil"/>
          <w:left w:val="nil"/>
          <w:bottom w:val="nil"/>
          <w:right w:val="nil"/>
          <w:between w:val="nil"/>
        </w:pBdr>
        <w:spacing w:after="0"/>
      </w:pPr>
      <w:r>
        <w:rPr>
          <w:color w:val="000000"/>
        </w:rPr>
        <w:t>Philanthropic Foundations</w:t>
      </w:r>
    </w:p>
    <w:p w14:paraId="1CF9FDA4" w14:textId="77777777" w:rsidR="003622E3" w:rsidRDefault="00000000">
      <w:pPr>
        <w:numPr>
          <w:ilvl w:val="0"/>
          <w:numId w:val="3"/>
        </w:numPr>
        <w:pBdr>
          <w:top w:val="nil"/>
          <w:left w:val="nil"/>
          <w:bottom w:val="nil"/>
          <w:right w:val="nil"/>
          <w:between w:val="nil"/>
        </w:pBdr>
        <w:spacing w:after="0"/>
      </w:pPr>
      <w:r>
        <w:rPr>
          <w:color w:val="000000"/>
        </w:rPr>
        <w:t>Departments and agencies of the federal, provincial, territorial or municipal Government</w:t>
      </w:r>
    </w:p>
    <w:p w14:paraId="3D844A81" w14:textId="77777777" w:rsidR="003622E3" w:rsidRDefault="00000000">
      <w:pPr>
        <w:numPr>
          <w:ilvl w:val="0"/>
          <w:numId w:val="3"/>
        </w:numPr>
        <w:pBdr>
          <w:top w:val="nil"/>
          <w:left w:val="nil"/>
          <w:bottom w:val="nil"/>
          <w:right w:val="nil"/>
          <w:between w:val="nil"/>
        </w:pBdr>
        <w:spacing w:after="0"/>
      </w:pPr>
      <w:r>
        <w:rPr>
          <w:color w:val="000000"/>
        </w:rPr>
        <w:t>Crown Corporations</w:t>
      </w:r>
    </w:p>
    <w:p w14:paraId="172B0D1C" w14:textId="77777777" w:rsidR="003622E3" w:rsidRDefault="00000000">
      <w:pPr>
        <w:numPr>
          <w:ilvl w:val="0"/>
          <w:numId w:val="3"/>
        </w:numPr>
        <w:pBdr>
          <w:top w:val="nil"/>
          <w:left w:val="nil"/>
          <w:bottom w:val="nil"/>
          <w:right w:val="nil"/>
          <w:between w:val="nil"/>
        </w:pBdr>
        <w:spacing w:after="0"/>
      </w:pPr>
      <w:r>
        <w:rPr>
          <w:color w:val="000000"/>
        </w:rPr>
        <w:t>Private sector</w:t>
      </w:r>
    </w:p>
    <w:p w14:paraId="69A2A145" w14:textId="77777777" w:rsidR="003622E3" w:rsidRDefault="00000000">
      <w:pPr>
        <w:numPr>
          <w:ilvl w:val="0"/>
          <w:numId w:val="3"/>
        </w:numPr>
        <w:pBdr>
          <w:top w:val="nil"/>
          <w:left w:val="nil"/>
          <w:bottom w:val="nil"/>
          <w:right w:val="nil"/>
          <w:between w:val="nil"/>
        </w:pBdr>
        <w:spacing w:after="0"/>
      </w:pPr>
      <w:r>
        <w:rPr>
          <w:color w:val="000000"/>
        </w:rPr>
        <w:t>Not-for-profit organizations</w:t>
      </w:r>
    </w:p>
    <w:p w14:paraId="1F11B374" w14:textId="77777777" w:rsidR="003622E3" w:rsidRDefault="00000000">
      <w:pPr>
        <w:numPr>
          <w:ilvl w:val="0"/>
          <w:numId w:val="3"/>
        </w:numPr>
        <w:pBdr>
          <w:top w:val="nil"/>
          <w:left w:val="nil"/>
          <w:bottom w:val="nil"/>
          <w:right w:val="nil"/>
          <w:between w:val="nil"/>
        </w:pBdr>
        <w:spacing w:after="0"/>
      </w:pPr>
      <w:r>
        <w:rPr>
          <w:color w:val="000000"/>
        </w:rPr>
        <w:t>Community organizations</w:t>
      </w:r>
    </w:p>
    <w:p w14:paraId="051E2563" w14:textId="77777777" w:rsidR="003622E3" w:rsidRDefault="00000000">
      <w:pPr>
        <w:numPr>
          <w:ilvl w:val="0"/>
          <w:numId w:val="3"/>
        </w:numPr>
        <w:pBdr>
          <w:top w:val="nil"/>
          <w:left w:val="nil"/>
          <w:bottom w:val="nil"/>
          <w:right w:val="nil"/>
          <w:between w:val="nil"/>
        </w:pBdr>
        <w:spacing w:after="0"/>
      </w:pPr>
      <w:r>
        <w:rPr>
          <w:color w:val="000000"/>
        </w:rPr>
        <w:t>Labour organizations</w:t>
      </w:r>
    </w:p>
    <w:p w14:paraId="708CFBF0" w14:textId="77777777" w:rsidR="003622E3" w:rsidRDefault="00000000">
      <w:pPr>
        <w:numPr>
          <w:ilvl w:val="0"/>
          <w:numId w:val="3"/>
        </w:numPr>
        <w:pBdr>
          <w:top w:val="nil"/>
          <w:left w:val="nil"/>
          <w:bottom w:val="nil"/>
          <w:right w:val="nil"/>
          <w:between w:val="nil"/>
        </w:pBdr>
      </w:pPr>
      <w:r>
        <w:rPr>
          <w:color w:val="000000"/>
        </w:rPr>
        <w:t xml:space="preserve">Individuals </w:t>
      </w:r>
    </w:p>
    <w:p w14:paraId="6BAA1022" w14:textId="77777777" w:rsidR="003622E3" w:rsidRDefault="003622E3"/>
    <w:p w14:paraId="7639E28E" w14:textId="77777777" w:rsidR="003622E3" w:rsidRDefault="003622E3"/>
    <w:p w14:paraId="25B56BAE" w14:textId="77777777" w:rsidR="003622E3" w:rsidRDefault="003622E3"/>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237"/>
        <w:gridCol w:w="3238"/>
        <w:gridCol w:w="3238"/>
      </w:tblGrid>
      <w:tr w:rsidR="003622E3" w14:paraId="16BF2C09" w14:textId="77777777">
        <w:tc>
          <w:tcPr>
            <w:tcW w:w="3237" w:type="dxa"/>
          </w:tcPr>
          <w:p w14:paraId="3BF0C30F" w14:textId="77777777" w:rsidR="003622E3" w:rsidRDefault="00000000">
            <w:pPr>
              <w:rPr>
                <w:b/>
                <w:sz w:val="24"/>
                <w:szCs w:val="24"/>
              </w:rPr>
            </w:pPr>
            <w:r>
              <w:rPr>
                <w:b/>
                <w:sz w:val="24"/>
                <w:szCs w:val="24"/>
              </w:rPr>
              <w:lastRenderedPageBreak/>
              <w:t>Type of Expense</w:t>
            </w:r>
          </w:p>
        </w:tc>
        <w:tc>
          <w:tcPr>
            <w:tcW w:w="3237" w:type="dxa"/>
          </w:tcPr>
          <w:p w14:paraId="1E77EFEA" w14:textId="77777777" w:rsidR="003622E3" w:rsidRDefault="00000000">
            <w:pPr>
              <w:rPr>
                <w:b/>
                <w:sz w:val="24"/>
                <w:szCs w:val="24"/>
              </w:rPr>
            </w:pPr>
            <w:r>
              <w:rPr>
                <w:b/>
                <w:sz w:val="24"/>
                <w:szCs w:val="24"/>
              </w:rPr>
              <w:t>Examples</w:t>
            </w:r>
          </w:p>
        </w:tc>
        <w:tc>
          <w:tcPr>
            <w:tcW w:w="3238" w:type="dxa"/>
          </w:tcPr>
          <w:p w14:paraId="7A3BB933" w14:textId="77777777" w:rsidR="003622E3" w:rsidRDefault="00000000">
            <w:pPr>
              <w:rPr>
                <w:b/>
                <w:sz w:val="24"/>
                <w:szCs w:val="24"/>
              </w:rPr>
            </w:pPr>
            <w:r>
              <w:rPr>
                <w:b/>
                <w:sz w:val="24"/>
                <w:szCs w:val="24"/>
              </w:rPr>
              <w:t>Comments</w:t>
            </w:r>
          </w:p>
        </w:tc>
        <w:tc>
          <w:tcPr>
            <w:tcW w:w="3238" w:type="dxa"/>
          </w:tcPr>
          <w:p w14:paraId="603CC785" w14:textId="77777777" w:rsidR="003622E3" w:rsidRDefault="00000000">
            <w:pPr>
              <w:rPr>
                <w:b/>
                <w:sz w:val="24"/>
                <w:szCs w:val="24"/>
              </w:rPr>
            </w:pPr>
            <w:r>
              <w:rPr>
                <w:b/>
                <w:sz w:val="24"/>
                <w:szCs w:val="24"/>
              </w:rPr>
              <w:t>Valuation Approaches</w:t>
            </w:r>
          </w:p>
        </w:tc>
      </w:tr>
      <w:tr w:rsidR="003622E3" w14:paraId="5A3466E7" w14:textId="77777777">
        <w:tc>
          <w:tcPr>
            <w:tcW w:w="3237" w:type="dxa"/>
          </w:tcPr>
          <w:p w14:paraId="3F090C44" w14:textId="77777777" w:rsidR="003622E3" w:rsidRDefault="00000000">
            <w:r>
              <w:t>Space/Facilities</w:t>
            </w:r>
          </w:p>
        </w:tc>
        <w:tc>
          <w:tcPr>
            <w:tcW w:w="3237" w:type="dxa"/>
          </w:tcPr>
          <w:p w14:paraId="592872FB" w14:textId="77777777" w:rsidR="003622E3" w:rsidRDefault="00000000">
            <w:pPr>
              <w:numPr>
                <w:ilvl w:val="0"/>
                <w:numId w:val="7"/>
              </w:numPr>
              <w:pBdr>
                <w:top w:val="nil"/>
                <w:left w:val="nil"/>
                <w:bottom w:val="nil"/>
                <w:right w:val="nil"/>
                <w:between w:val="nil"/>
              </w:pBdr>
              <w:spacing w:line="259" w:lineRule="auto"/>
            </w:pPr>
            <w:r>
              <w:rPr>
                <w:color w:val="000000"/>
              </w:rPr>
              <w:t>Meeting rooms</w:t>
            </w:r>
          </w:p>
          <w:p w14:paraId="7FCFDEB2" w14:textId="77777777" w:rsidR="003622E3" w:rsidRDefault="00000000">
            <w:pPr>
              <w:numPr>
                <w:ilvl w:val="0"/>
                <w:numId w:val="7"/>
              </w:numPr>
              <w:pBdr>
                <w:top w:val="nil"/>
                <w:left w:val="nil"/>
                <w:bottom w:val="nil"/>
                <w:right w:val="nil"/>
                <w:between w:val="nil"/>
              </w:pBdr>
              <w:spacing w:line="259" w:lineRule="auto"/>
            </w:pPr>
            <w:r>
              <w:rPr>
                <w:color w:val="000000"/>
              </w:rPr>
              <w:t>Donated Office Spaces (at institution or partner site)</w:t>
            </w:r>
          </w:p>
          <w:p w14:paraId="649F58DC" w14:textId="77777777" w:rsidR="003622E3" w:rsidRDefault="00000000">
            <w:pPr>
              <w:numPr>
                <w:ilvl w:val="0"/>
                <w:numId w:val="7"/>
              </w:numPr>
              <w:pBdr>
                <w:top w:val="nil"/>
                <w:left w:val="nil"/>
                <w:bottom w:val="nil"/>
                <w:right w:val="nil"/>
                <w:between w:val="nil"/>
              </w:pBdr>
              <w:spacing w:line="259" w:lineRule="auto"/>
            </w:pPr>
            <w:r>
              <w:rPr>
                <w:color w:val="000000"/>
              </w:rPr>
              <w:t>Internal costs for use of specialized equipment facilities</w:t>
            </w:r>
          </w:p>
          <w:p w14:paraId="5020D60C" w14:textId="77777777" w:rsidR="003622E3" w:rsidRDefault="00000000">
            <w:pPr>
              <w:numPr>
                <w:ilvl w:val="0"/>
                <w:numId w:val="7"/>
              </w:numPr>
              <w:pBdr>
                <w:top w:val="nil"/>
                <w:left w:val="nil"/>
                <w:bottom w:val="nil"/>
                <w:right w:val="nil"/>
                <w:between w:val="nil"/>
              </w:pBdr>
              <w:spacing w:line="259" w:lineRule="auto"/>
              <w:rPr>
                <w:color w:val="000000"/>
              </w:rPr>
            </w:pPr>
            <w:r>
              <w:rPr>
                <w:color w:val="000000"/>
              </w:rPr>
              <w:t>Internal rates for logistical support, food, and lodging for University personnel working on company premises or on field work</w:t>
            </w:r>
          </w:p>
          <w:p w14:paraId="16C07A4E" w14:textId="77777777" w:rsidR="003622E3" w:rsidRDefault="00000000">
            <w:pPr>
              <w:numPr>
                <w:ilvl w:val="0"/>
                <w:numId w:val="7"/>
              </w:numPr>
              <w:pBdr>
                <w:top w:val="nil"/>
                <w:left w:val="nil"/>
                <w:bottom w:val="nil"/>
                <w:right w:val="nil"/>
                <w:between w:val="nil"/>
              </w:pBdr>
              <w:spacing w:line="259" w:lineRule="auto"/>
            </w:pPr>
            <w:r>
              <w:t>Display table at a convention or conference</w:t>
            </w:r>
          </w:p>
          <w:p w14:paraId="7120C40C" w14:textId="77777777" w:rsidR="003622E3" w:rsidRDefault="00000000">
            <w:pPr>
              <w:numPr>
                <w:ilvl w:val="0"/>
                <w:numId w:val="7"/>
              </w:numPr>
              <w:pBdr>
                <w:top w:val="nil"/>
                <w:left w:val="nil"/>
                <w:bottom w:val="nil"/>
                <w:right w:val="nil"/>
                <w:between w:val="nil"/>
              </w:pBdr>
              <w:spacing w:after="160" w:line="259" w:lineRule="auto"/>
            </w:pPr>
            <w:r>
              <w:t>Waived venue fees</w:t>
            </w:r>
          </w:p>
        </w:tc>
        <w:tc>
          <w:tcPr>
            <w:tcW w:w="3238" w:type="dxa"/>
          </w:tcPr>
          <w:p w14:paraId="110DE5AA" w14:textId="77777777" w:rsidR="003622E3" w:rsidRDefault="00000000">
            <w:pPr>
              <w:numPr>
                <w:ilvl w:val="0"/>
                <w:numId w:val="8"/>
              </w:numPr>
              <w:pBdr>
                <w:top w:val="nil"/>
                <w:left w:val="nil"/>
                <w:bottom w:val="nil"/>
                <w:right w:val="nil"/>
                <w:between w:val="nil"/>
              </w:pBdr>
              <w:spacing w:line="259" w:lineRule="auto"/>
            </w:pPr>
            <w:r>
              <w:rPr>
                <w:color w:val="000000"/>
              </w:rPr>
              <w:t>Should only include space or facilities for which a fee is usually charged. This includes space given as part of your employment (eg. Office)</w:t>
            </w:r>
          </w:p>
          <w:p w14:paraId="5D307469" w14:textId="77777777" w:rsidR="003622E3" w:rsidRDefault="00000000">
            <w:pPr>
              <w:numPr>
                <w:ilvl w:val="0"/>
                <w:numId w:val="8"/>
              </w:numPr>
              <w:pBdr>
                <w:top w:val="nil"/>
                <w:left w:val="nil"/>
                <w:bottom w:val="nil"/>
                <w:right w:val="nil"/>
                <w:between w:val="nil"/>
              </w:pBdr>
              <w:spacing w:after="160" w:line="259" w:lineRule="auto"/>
            </w:pPr>
            <w:r>
              <w:rPr>
                <w:color w:val="000000"/>
              </w:rPr>
              <w:t>The Value of donated meeting rooms should be calculated at rates charged to staff; not to non-university clients</w:t>
            </w:r>
          </w:p>
        </w:tc>
        <w:tc>
          <w:tcPr>
            <w:tcW w:w="3238" w:type="dxa"/>
          </w:tcPr>
          <w:p w14:paraId="26EECF31" w14:textId="77777777" w:rsidR="003622E3" w:rsidRDefault="00000000">
            <w:pPr>
              <w:numPr>
                <w:ilvl w:val="0"/>
                <w:numId w:val="8"/>
              </w:numPr>
              <w:pBdr>
                <w:top w:val="nil"/>
                <w:left w:val="nil"/>
                <w:bottom w:val="nil"/>
                <w:right w:val="nil"/>
                <w:between w:val="nil"/>
              </w:pBdr>
              <w:spacing w:line="259" w:lineRule="auto"/>
            </w:pPr>
            <w:r>
              <w:rPr>
                <w:color w:val="000000"/>
              </w:rPr>
              <w:t xml:space="preserve">Check with Institution’s facilities for their rates - contact </w:t>
            </w:r>
            <w:r>
              <w:t>the department/faculty where the space is held</w:t>
            </w:r>
          </w:p>
          <w:p w14:paraId="328F459F" w14:textId="77777777" w:rsidR="003622E3" w:rsidRDefault="00000000">
            <w:pPr>
              <w:numPr>
                <w:ilvl w:val="0"/>
                <w:numId w:val="8"/>
              </w:numPr>
              <w:pBdr>
                <w:top w:val="nil"/>
                <w:left w:val="nil"/>
                <w:bottom w:val="nil"/>
                <w:right w:val="nil"/>
                <w:between w:val="nil"/>
              </w:pBdr>
              <w:spacing w:line="259" w:lineRule="auto"/>
            </w:pPr>
            <w:r>
              <w:rPr>
                <w:color w:val="000000"/>
              </w:rPr>
              <w:t>Inquire with the organization for their rates</w:t>
            </w:r>
          </w:p>
          <w:p w14:paraId="3D6EAECB" w14:textId="77777777" w:rsidR="003622E3" w:rsidRDefault="00000000">
            <w:pPr>
              <w:numPr>
                <w:ilvl w:val="0"/>
                <w:numId w:val="8"/>
              </w:numPr>
              <w:pBdr>
                <w:top w:val="nil"/>
                <w:left w:val="nil"/>
                <w:bottom w:val="nil"/>
                <w:right w:val="nil"/>
                <w:between w:val="nil"/>
              </w:pBdr>
              <w:spacing w:line="259" w:lineRule="auto"/>
            </w:pPr>
            <w:r>
              <w:t xml:space="preserve">Check with convention/conference rates </w:t>
            </w:r>
          </w:p>
        </w:tc>
      </w:tr>
      <w:tr w:rsidR="003622E3" w14:paraId="01C1A661" w14:textId="77777777">
        <w:tc>
          <w:tcPr>
            <w:tcW w:w="3237" w:type="dxa"/>
          </w:tcPr>
          <w:p w14:paraId="275C9EDC" w14:textId="77777777" w:rsidR="003622E3" w:rsidRDefault="00000000">
            <w:r>
              <w:t>Equipment, materials and supplies</w:t>
            </w:r>
          </w:p>
        </w:tc>
        <w:tc>
          <w:tcPr>
            <w:tcW w:w="3237" w:type="dxa"/>
          </w:tcPr>
          <w:p w14:paraId="274729D3" w14:textId="77777777" w:rsidR="003622E3" w:rsidRDefault="00000000">
            <w:pPr>
              <w:numPr>
                <w:ilvl w:val="0"/>
                <w:numId w:val="1"/>
              </w:numPr>
              <w:pBdr>
                <w:top w:val="nil"/>
                <w:left w:val="nil"/>
                <w:bottom w:val="nil"/>
                <w:right w:val="nil"/>
                <w:between w:val="nil"/>
              </w:pBdr>
              <w:spacing w:line="259" w:lineRule="auto"/>
            </w:pPr>
            <w:r>
              <w:rPr>
                <w:color w:val="000000"/>
              </w:rPr>
              <w:t>Computers or computer equipment</w:t>
            </w:r>
          </w:p>
          <w:p w14:paraId="701C5D90" w14:textId="77777777" w:rsidR="003622E3" w:rsidRDefault="00000000">
            <w:pPr>
              <w:numPr>
                <w:ilvl w:val="0"/>
                <w:numId w:val="1"/>
              </w:numPr>
              <w:pBdr>
                <w:top w:val="nil"/>
                <w:left w:val="nil"/>
                <w:bottom w:val="nil"/>
                <w:right w:val="nil"/>
                <w:between w:val="nil"/>
              </w:pBdr>
              <w:spacing w:line="259" w:lineRule="auto"/>
            </w:pPr>
            <w:r>
              <w:rPr>
                <w:color w:val="000000"/>
              </w:rPr>
              <w:t>Specialized computers (eg. Scanners)</w:t>
            </w:r>
          </w:p>
          <w:p w14:paraId="0B3E5C52" w14:textId="77777777" w:rsidR="003622E3" w:rsidRDefault="00000000">
            <w:pPr>
              <w:numPr>
                <w:ilvl w:val="0"/>
                <w:numId w:val="1"/>
              </w:numPr>
              <w:pBdr>
                <w:top w:val="nil"/>
                <w:left w:val="nil"/>
                <w:bottom w:val="nil"/>
                <w:right w:val="nil"/>
                <w:between w:val="nil"/>
              </w:pBdr>
              <w:spacing w:line="259" w:lineRule="auto"/>
            </w:pPr>
            <w:r>
              <w:rPr>
                <w:color w:val="000000"/>
              </w:rPr>
              <w:t>Access/use of specialized equipment</w:t>
            </w:r>
          </w:p>
          <w:p w14:paraId="726864C4" w14:textId="77777777" w:rsidR="003622E3" w:rsidRDefault="00000000">
            <w:pPr>
              <w:numPr>
                <w:ilvl w:val="0"/>
                <w:numId w:val="1"/>
              </w:numPr>
              <w:pBdr>
                <w:top w:val="nil"/>
                <w:left w:val="nil"/>
                <w:bottom w:val="nil"/>
                <w:right w:val="nil"/>
                <w:between w:val="nil"/>
              </w:pBdr>
              <w:spacing w:after="160" w:line="259" w:lineRule="auto"/>
            </w:pPr>
            <w:r>
              <w:rPr>
                <w:color w:val="000000"/>
              </w:rPr>
              <w:t xml:space="preserve">Donation of materials (eg. Books, samples, lab materials, office supplies, </w:t>
            </w:r>
            <w:r>
              <w:rPr>
                <w:color w:val="000000"/>
              </w:rPr>
              <w:lastRenderedPageBreak/>
              <w:t>print supplies, prin</w:t>
            </w:r>
            <w:r>
              <w:t>ting services</w:t>
            </w:r>
            <w:r>
              <w:rPr>
                <w:color w:val="000000"/>
              </w:rPr>
              <w:t>)</w:t>
            </w:r>
          </w:p>
        </w:tc>
        <w:tc>
          <w:tcPr>
            <w:tcW w:w="3238" w:type="dxa"/>
          </w:tcPr>
          <w:p w14:paraId="29EEAF23" w14:textId="77777777" w:rsidR="003622E3" w:rsidRDefault="00000000">
            <w:pPr>
              <w:numPr>
                <w:ilvl w:val="0"/>
                <w:numId w:val="8"/>
              </w:numPr>
              <w:pBdr>
                <w:top w:val="nil"/>
                <w:left w:val="nil"/>
                <w:bottom w:val="nil"/>
                <w:right w:val="nil"/>
                <w:between w:val="nil"/>
              </w:pBdr>
              <w:spacing w:line="259" w:lineRule="auto"/>
            </w:pPr>
            <w:r>
              <w:rPr>
                <w:color w:val="000000"/>
              </w:rPr>
              <w:lastRenderedPageBreak/>
              <w:t>There should normally be a charge for the use of this equipment</w:t>
            </w:r>
          </w:p>
          <w:p w14:paraId="44C195F9" w14:textId="77777777" w:rsidR="003622E3" w:rsidRDefault="00000000">
            <w:pPr>
              <w:numPr>
                <w:ilvl w:val="0"/>
                <w:numId w:val="8"/>
              </w:numPr>
              <w:pBdr>
                <w:top w:val="nil"/>
                <w:left w:val="nil"/>
                <w:bottom w:val="nil"/>
                <w:right w:val="nil"/>
                <w:between w:val="nil"/>
              </w:pBdr>
              <w:spacing w:line="259" w:lineRule="auto"/>
            </w:pPr>
            <w:r>
              <w:rPr>
                <w:color w:val="000000"/>
              </w:rPr>
              <w:t>Not typically eligible are the development costs or items at list or discounted price</w:t>
            </w:r>
          </w:p>
          <w:p w14:paraId="51A35D81" w14:textId="77777777" w:rsidR="003622E3" w:rsidRDefault="00000000">
            <w:pPr>
              <w:numPr>
                <w:ilvl w:val="0"/>
                <w:numId w:val="8"/>
              </w:numPr>
              <w:pBdr>
                <w:top w:val="nil"/>
                <w:left w:val="nil"/>
                <w:bottom w:val="nil"/>
                <w:right w:val="nil"/>
                <w:between w:val="nil"/>
              </w:pBdr>
              <w:spacing w:line="259" w:lineRule="auto"/>
            </w:pPr>
            <w:r>
              <w:rPr>
                <w:color w:val="000000"/>
              </w:rPr>
              <w:t xml:space="preserve">Rental equivalents exceeding accepted values had the equipment been donated or </w:t>
            </w:r>
            <w:r>
              <w:rPr>
                <w:color w:val="000000"/>
              </w:rPr>
              <w:lastRenderedPageBreak/>
              <w:t>sold are also not typically eligible</w:t>
            </w:r>
          </w:p>
          <w:p w14:paraId="0346F4DC" w14:textId="77777777" w:rsidR="003622E3" w:rsidRDefault="00000000">
            <w:pPr>
              <w:numPr>
                <w:ilvl w:val="0"/>
                <w:numId w:val="8"/>
              </w:numPr>
              <w:pBdr>
                <w:top w:val="nil"/>
                <w:left w:val="nil"/>
                <w:bottom w:val="nil"/>
                <w:right w:val="nil"/>
                <w:between w:val="nil"/>
              </w:pBdr>
              <w:spacing w:line="259" w:lineRule="auto"/>
            </w:pPr>
            <w:r>
              <w:rPr>
                <w:color w:val="000000"/>
              </w:rPr>
              <w:t>NOTE: donated equipment becomes the property of the academic institution at the completion of the project</w:t>
            </w:r>
          </w:p>
          <w:p w14:paraId="542C4AFA" w14:textId="77777777" w:rsidR="003622E3" w:rsidRDefault="00000000">
            <w:pPr>
              <w:numPr>
                <w:ilvl w:val="0"/>
                <w:numId w:val="8"/>
              </w:numPr>
              <w:pBdr>
                <w:top w:val="nil"/>
                <w:left w:val="nil"/>
                <w:bottom w:val="nil"/>
                <w:right w:val="nil"/>
                <w:between w:val="nil"/>
              </w:pBdr>
              <w:spacing w:after="160" w:line="259" w:lineRule="auto"/>
            </w:pPr>
            <w:r>
              <w:rPr>
                <w:color w:val="000000"/>
              </w:rPr>
              <w:t>Excluded is a product under study in a clinical trial if it is the industry partner’s product</w:t>
            </w:r>
          </w:p>
        </w:tc>
        <w:tc>
          <w:tcPr>
            <w:tcW w:w="3238" w:type="dxa"/>
          </w:tcPr>
          <w:p w14:paraId="4245355C" w14:textId="77777777" w:rsidR="003622E3" w:rsidRDefault="00000000">
            <w:pPr>
              <w:numPr>
                <w:ilvl w:val="0"/>
                <w:numId w:val="8"/>
              </w:numPr>
              <w:pBdr>
                <w:top w:val="nil"/>
                <w:left w:val="nil"/>
                <w:bottom w:val="nil"/>
                <w:right w:val="nil"/>
                <w:between w:val="nil"/>
              </w:pBdr>
              <w:spacing w:line="259" w:lineRule="auto"/>
            </w:pPr>
            <w:r>
              <w:rPr>
                <w:color w:val="000000"/>
              </w:rPr>
              <w:lastRenderedPageBreak/>
              <w:t>Donated (used) should be at fair market value</w:t>
            </w:r>
            <w:r>
              <w:rPr>
                <w:color w:val="000000"/>
                <w:vertAlign w:val="superscript"/>
              </w:rPr>
              <w:footnoteReference w:id="1"/>
            </w:r>
            <w:r>
              <w:rPr>
                <w:color w:val="000000"/>
              </w:rPr>
              <w:t xml:space="preserve"> or company book value</w:t>
            </w:r>
          </w:p>
          <w:p w14:paraId="741CE169" w14:textId="77777777" w:rsidR="003622E3" w:rsidRDefault="00000000">
            <w:pPr>
              <w:numPr>
                <w:ilvl w:val="0"/>
                <w:numId w:val="8"/>
              </w:numPr>
              <w:pBdr>
                <w:top w:val="nil"/>
                <w:left w:val="nil"/>
                <w:bottom w:val="nil"/>
                <w:right w:val="nil"/>
                <w:between w:val="nil"/>
              </w:pBdr>
              <w:spacing w:line="259" w:lineRule="auto"/>
            </w:pPr>
            <w:r>
              <w:rPr>
                <w:color w:val="000000"/>
              </w:rPr>
              <w:t>Donated (new) should be at selling price</w:t>
            </w:r>
          </w:p>
          <w:p w14:paraId="130074EE" w14:textId="77777777" w:rsidR="003622E3" w:rsidRDefault="00000000">
            <w:pPr>
              <w:numPr>
                <w:ilvl w:val="0"/>
                <w:numId w:val="8"/>
              </w:numPr>
              <w:pBdr>
                <w:top w:val="nil"/>
                <w:left w:val="nil"/>
                <w:bottom w:val="nil"/>
                <w:right w:val="nil"/>
                <w:between w:val="nil"/>
              </w:pBdr>
              <w:spacing w:line="259" w:lineRule="auto"/>
            </w:pPr>
            <w:r>
              <w:rPr>
                <w:color w:val="000000"/>
              </w:rPr>
              <w:t>Loaned items should be on rental equivalent based on depreciation</w:t>
            </w:r>
          </w:p>
          <w:p w14:paraId="139284A3" w14:textId="77777777" w:rsidR="003622E3" w:rsidRDefault="00000000">
            <w:pPr>
              <w:numPr>
                <w:ilvl w:val="0"/>
                <w:numId w:val="8"/>
              </w:numPr>
              <w:pBdr>
                <w:top w:val="nil"/>
                <w:left w:val="nil"/>
                <w:bottom w:val="nil"/>
                <w:right w:val="nil"/>
                <w:between w:val="nil"/>
              </w:pBdr>
              <w:spacing w:line="259" w:lineRule="auto"/>
            </w:pPr>
            <w:r>
              <w:rPr>
                <w:color w:val="000000"/>
              </w:rPr>
              <w:lastRenderedPageBreak/>
              <w:t xml:space="preserve">Check with </w:t>
            </w:r>
            <w:hyperlink r:id="rId9">
              <w:r>
                <w:rPr>
                  <w:color w:val="0563C1"/>
                  <w:u w:val="single"/>
                </w:rPr>
                <w:t>Procurement</w:t>
              </w:r>
            </w:hyperlink>
            <w:r>
              <w:rPr>
                <w:color w:val="000000"/>
              </w:rPr>
              <w:t xml:space="preserve"> for rates, preferred supplies, etc. </w:t>
            </w:r>
          </w:p>
          <w:p w14:paraId="76F72133" w14:textId="77777777" w:rsidR="003622E3" w:rsidRDefault="00000000">
            <w:pPr>
              <w:numPr>
                <w:ilvl w:val="0"/>
                <w:numId w:val="8"/>
              </w:numPr>
              <w:pBdr>
                <w:top w:val="nil"/>
                <w:left w:val="nil"/>
                <w:bottom w:val="nil"/>
                <w:right w:val="nil"/>
                <w:between w:val="nil"/>
              </w:pBdr>
              <w:spacing w:after="160" w:line="259" w:lineRule="auto"/>
            </w:pPr>
            <w:r>
              <w:rPr>
                <w:color w:val="000000"/>
              </w:rPr>
              <w:t>Internet search for average rates</w:t>
            </w:r>
          </w:p>
        </w:tc>
      </w:tr>
      <w:tr w:rsidR="003622E3" w14:paraId="5F1D5D75" w14:textId="77777777">
        <w:tc>
          <w:tcPr>
            <w:tcW w:w="3237" w:type="dxa"/>
          </w:tcPr>
          <w:p w14:paraId="7D188CA9" w14:textId="77777777" w:rsidR="003622E3" w:rsidRDefault="00000000">
            <w:r>
              <w:lastRenderedPageBreak/>
              <w:t>Software, databases, survey platforms</w:t>
            </w:r>
          </w:p>
        </w:tc>
        <w:tc>
          <w:tcPr>
            <w:tcW w:w="3237" w:type="dxa"/>
          </w:tcPr>
          <w:p w14:paraId="31D91CCB" w14:textId="77777777" w:rsidR="003622E3" w:rsidRDefault="00000000">
            <w:pPr>
              <w:numPr>
                <w:ilvl w:val="0"/>
                <w:numId w:val="2"/>
              </w:numPr>
              <w:pBdr>
                <w:top w:val="nil"/>
                <w:left w:val="nil"/>
                <w:bottom w:val="nil"/>
                <w:right w:val="nil"/>
                <w:between w:val="nil"/>
              </w:pBdr>
              <w:spacing w:line="259" w:lineRule="auto"/>
            </w:pPr>
            <w:r>
              <w:rPr>
                <w:color w:val="000000"/>
              </w:rPr>
              <w:t>Purchasing licenses</w:t>
            </w:r>
          </w:p>
          <w:p w14:paraId="713269CA" w14:textId="77777777" w:rsidR="003622E3" w:rsidRDefault="00000000">
            <w:pPr>
              <w:numPr>
                <w:ilvl w:val="0"/>
                <w:numId w:val="2"/>
              </w:numPr>
              <w:pBdr>
                <w:top w:val="nil"/>
                <w:left w:val="nil"/>
                <w:bottom w:val="nil"/>
                <w:right w:val="nil"/>
                <w:between w:val="nil"/>
              </w:pBdr>
              <w:spacing w:line="259" w:lineRule="auto"/>
            </w:pPr>
            <w:r>
              <w:rPr>
                <w:color w:val="000000"/>
              </w:rPr>
              <w:t>Development cost of new software and technologies</w:t>
            </w:r>
          </w:p>
          <w:p w14:paraId="3611669D" w14:textId="77777777" w:rsidR="003622E3" w:rsidRDefault="00000000">
            <w:pPr>
              <w:numPr>
                <w:ilvl w:val="0"/>
                <w:numId w:val="2"/>
              </w:numPr>
              <w:pBdr>
                <w:top w:val="nil"/>
                <w:left w:val="nil"/>
                <w:bottom w:val="nil"/>
                <w:right w:val="nil"/>
                <w:between w:val="nil"/>
              </w:pBdr>
              <w:spacing w:line="259" w:lineRule="auto"/>
            </w:pPr>
            <w:r>
              <w:t>Research Data Management Support</w:t>
            </w:r>
          </w:p>
          <w:p w14:paraId="549A752B" w14:textId="77777777" w:rsidR="003622E3" w:rsidRDefault="00000000">
            <w:pPr>
              <w:numPr>
                <w:ilvl w:val="0"/>
                <w:numId w:val="2"/>
              </w:numPr>
              <w:pBdr>
                <w:top w:val="nil"/>
                <w:left w:val="nil"/>
                <w:bottom w:val="nil"/>
                <w:right w:val="nil"/>
                <w:between w:val="nil"/>
              </w:pBdr>
              <w:spacing w:line="259" w:lineRule="auto"/>
            </w:pPr>
            <w:r>
              <w:rPr>
                <w:color w:val="000000"/>
              </w:rPr>
              <w:t>Access to unique databases</w:t>
            </w:r>
          </w:p>
          <w:p w14:paraId="448DCE2F" w14:textId="77777777" w:rsidR="003622E3" w:rsidRDefault="00000000">
            <w:pPr>
              <w:numPr>
                <w:ilvl w:val="0"/>
                <w:numId w:val="2"/>
              </w:numPr>
              <w:pBdr>
                <w:top w:val="nil"/>
                <w:left w:val="nil"/>
                <w:bottom w:val="nil"/>
                <w:right w:val="nil"/>
                <w:between w:val="nil"/>
              </w:pBdr>
              <w:spacing w:line="259" w:lineRule="auto"/>
            </w:pPr>
            <w:r>
              <w:t>Access to Data Repositories</w:t>
            </w:r>
          </w:p>
          <w:p w14:paraId="0F2BB991" w14:textId="77777777" w:rsidR="003622E3" w:rsidRDefault="00000000">
            <w:pPr>
              <w:numPr>
                <w:ilvl w:val="0"/>
                <w:numId w:val="2"/>
              </w:numPr>
              <w:pBdr>
                <w:top w:val="nil"/>
                <w:left w:val="nil"/>
                <w:bottom w:val="nil"/>
                <w:right w:val="nil"/>
                <w:between w:val="nil"/>
              </w:pBdr>
              <w:spacing w:line="259" w:lineRule="auto"/>
            </w:pPr>
            <w:r>
              <w:rPr>
                <w:color w:val="000000"/>
              </w:rPr>
              <w:t>Cost of training and support of software</w:t>
            </w:r>
          </w:p>
          <w:p w14:paraId="1B7AB703" w14:textId="77777777" w:rsidR="003622E3" w:rsidRDefault="00000000">
            <w:pPr>
              <w:numPr>
                <w:ilvl w:val="0"/>
                <w:numId w:val="2"/>
              </w:numPr>
              <w:pBdr>
                <w:top w:val="nil"/>
                <w:left w:val="nil"/>
                <w:bottom w:val="nil"/>
                <w:right w:val="nil"/>
                <w:between w:val="nil"/>
              </w:pBdr>
              <w:spacing w:line="259" w:lineRule="auto"/>
            </w:pPr>
            <w:r>
              <w:rPr>
                <w:color w:val="000000"/>
              </w:rPr>
              <w:t>Costs of collecting and archiving data</w:t>
            </w:r>
          </w:p>
          <w:p w14:paraId="4DCB9E91" w14:textId="77777777" w:rsidR="003622E3" w:rsidRDefault="00000000">
            <w:pPr>
              <w:numPr>
                <w:ilvl w:val="0"/>
                <w:numId w:val="2"/>
              </w:numPr>
              <w:pBdr>
                <w:top w:val="nil"/>
                <w:left w:val="nil"/>
                <w:bottom w:val="nil"/>
                <w:right w:val="nil"/>
                <w:between w:val="nil"/>
              </w:pBdr>
              <w:spacing w:after="160" w:line="259" w:lineRule="auto"/>
            </w:pPr>
            <w:r>
              <w:rPr>
                <w:color w:val="000000"/>
              </w:rPr>
              <w:t>Access to existing code or code libraries for reuse</w:t>
            </w:r>
          </w:p>
        </w:tc>
        <w:tc>
          <w:tcPr>
            <w:tcW w:w="3238" w:type="dxa"/>
          </w:tcPr>
          <w:p w14:paraId="178F0E86" w14:textId="77777777" w:rsidR="003622E3" w:rsidRDefault="00000000">
            <w:pPr>
              <w:numPr>
                <w:ilvl w:val="0"/>
                <w:numId w:val="8"/>
              </w:numPr>
              <w:pBdr>
                <w:top w:val="nil"/>
                <w:left w:val="nil"/>
                <w:bottom w:val="nil"/>
                <w:right w:val="nil"/>
                <w:between w:val="nil"/>
              </w:pBdr>
              <w:spacing w:line="259" w:lineRule="auto"/>
            </w:pPr>
            <w:r>
              <w:rPr>
                <w:color w:val="000000"/>
              </w:rPr>
              <w:t>Software licenses should not already be provided by the institution</w:t>
            </w:r>
          </w:p>
          <w:p w14:paraId="662CE918" w14:textId="77777777" w:rsidR="003622E3" w:rsidRDefault="00000000">
            <w:pPr>
              <w:numPr>
                <w:ilvl w:val="0"/>
                <w:numId w:val="8"/>
              </w:numPr>
              <w:pBdr>
                <w:top w:val="nil"/>
                <w:left w:val="nil"/>
                <w:bottom w:val="nil"/>
                <w:right w:val="nil"/>
                <w:between w:val="nil"/>
              </w:pBdr>
              <w:spacing w:line="259" w:lineRule="auto"/>
            </w:pPr>
            <w:r>
              <w:rPr>
                <w:color w:val="000000"/>
              </w:rPr>
              <w:t>Routine software costs are not eligible</w:t>
            </w:r>
          </w:p>
          <w:p w14:paraId="63F72352" w14:textId="77777777" w:rsidR="003622E3" w:rsidRDefault="00000000">
            <w:pPr>
              <w:numPr>
                <w:ilvl w:val="0"/>
                <w:numId w:val="8"/>
              </w:numPr>
              <w:pBdr>
                <w:top w:val="nil"/>
                <w:left w:val="nil"/>
                <w:bottom w:val="nil"/>
                <w:right w:val="nil"/>
                <w:between w:val="nil"/>
              </w:pBdr>
              <w:spacing w:line="259" w:lineRule="auto"/>
            </w:pPr>
            <w:r>
              <w:rPr>
                <w:color w:val="000000"/>
              </w:rPr>
              <w:t>The Database must remain in the public domain</w:t>
            </w:r>
          </w:p>
          <w:p w14:paraId="1B12E652" w14:textId="77777777" w:rsidR="003622E3" w:rsidRDefault="00000000">
            <w:pPr>
              <w:numPr>
                <w:ilvl w:val="0"/>
                <w:numId w:val="8"/>
              </w:numPr>
              <w:pBdr>
                <w:top w:val="nil"/>
                <w:left w:val="nil"/>
                <w:bottom w:val="nil"/>
                <w:right w:val="nil"/>
                <w:between w:val="nil"/>
              </w:pBdr>
              <w:spacing w:after="160" w:line="259" w:lineRule="auto"/>
            </w:pPr>
            <w:r>
              <w:rPr>
                <w:color w:val="000000"/>
              </w:rPr>
              <w:t>The data should be critical to the project</w:t>
            </w:r>
          </w:p>
        </w:tc>
        <w:tc>
          <w:tcPr>
            <w:tcW w:w="3238" w:type="dxa"/>
          </w:tcPr>
          <w:p w14:paraId="3F1A8FFC" w14:textId="77777777" w:rsidR="003622E3" w:rsidRDefault="00000000">
            <w:pPr>
              <w:numPr>
                <w:ilvl w:val="0"/>
                <w:numId w:val="8"/>
              </w:numPr>
              <w:pBdr>
                <w:top w:val="nil"/>
                <w:left w:val="nil"/>
                <w:bottom w:val="nil"/>
                <w:right w:val="nil"/>
                <w:between w:val="nil"/>
              </w:pBdr>
              <w:spacing w:line="259" w:lineRule="auto"/>
            </w:pPr>
            <w:r>
              <w:rPr>
                <w:color w:val="000000"/>
              </w:rPr>
              <w:t xml:space="preserve">Check with </w:t>
            </w:r>
            <w:hyperlink r:id="rId10">
              <w:r>
                <w:rPr>
                  <w:color w:val="0563C1"/>
                  <w:u w:val="single"/>
                </w:rPr>
                <w:t>Procurement</w:t>
              </w:r>
            </w:hyperlink>
            <w:r>
              <w:rPr>
                <w:color w:val="000000"/>
              </w:rPr>
              <w:t xml:space="preserve"> for rates, preferred supplies, etc.</w:t>
            </w:r>
          </w:p>
          <w:p w14:paraId="79129939" w14:textId="77777777" w:rsidR="003622E3" w:rsidRDefault="00000000">
            <w:pPr>
              <w:numPr>
                <w:ilvl w:val="0"/>
                <w:numId w:val="8"/>
              </w:numPr>
              <w:pBdr>
                <w:top w:val="nil"/>
                <w:left w:val="nil"/>
                <w:bottom w:val="nil"/>
                <w:right w:val="nil"/>
                <w:between w:val="nil"/>
              </w:pBdr>
              <w:spacing w:line="259" w:lineRule="auto"/>
            </w:pPr>
            <w:r>
              <w:t>Check with data repositories for their rates</w:t>
            </w:r>
          </w:p>
          <w:p w14:paraId="598D2860" w14:textId="77777777" w:rsidR="003622E3" w:rsidRDefault="00000000">
            <w:pPr>
              <w:numPr>
                <w:ilvl w:val="0"/>
                <w:numId w:val="8"/>
              </w:numPr>
              <w:pBdr>
                <w:top w:val="nil"/>
                <w:left w:val="nil"/>
                <w:bottom w:val="nil"/>
                <w:right w:val="nil"/>
                <w:between w:val="nil"/>
              </w:pBdr>
              <w:spacing w:line="259" w:lineRule="auto"/>
            </w:pPr>
            <w:r>
              <w:t xml:space="preserve">Check with UofA </w:t>
            </w:r>
            <w:hyperlink r:id="rId11">
              <w:r>
                <w:rPr>
                  <w:color w:val="1155CC"/>
                  <w:u w:val="single"/>
                </w:rPr>
                <w:t>Data Management</w:t>
              </w:r>
            </w:hyperlink>
            <w:r>
              <w:t>, otherwise check with the rates of any outside providers</w:t>
            </w:r>
          </w:p>
          <w:p w14:paraId="1752D0B5" w14:textId="77777777" w:rsidR="003622E3" w:rsidRDefault="00000000">
            <w:pPr>
              <w:numPr>
                <w:ilvl w:val="0"/>
                <w:numId w:val="8"/>
              </w:numPr>
              <w:pBdr>
                <w:top w:val="nil"/>
                <w:left w:val="nil"/>
                <w:bottom w:val="nil"/>
                <w:right w:val="nil"/>
                <w:between w:val="nil"/>
              </w:pBdr>
              <w:spacing w:after="160" w:line="259" w:lineRule="auto"/>
            </w:pPr>
            <w:r>
              <w:rPr>
                <w:color w:val="000000"/>
              </w:rPr>
              <w:t>Internet search for average rates</w:t>
            </w:r>
          </w:p>
        </w:tc>
      </w:tr>
      <w:tr w:rsidR="003622E3" w14:paraId="394424AF" w14:textId="77777777">
        <w:tc>
          <w:tcPr>
            <w:tcW w:w="3237" w:type="dxa"/>
          </w:tcPr>
          <w:p w14:paraId="04974A11" w14:textId="77777777" w:rsidR="003622E3" w:rsidRDefault="00000000">
            <w:r>
              <w:t>Professional, technical analytical services</w:t>
            </w:r>
          </w:p>
        </w:tc>
        <w:tc>
          <w:tcPr>
            <w:tcW w:w="3237" w:type="dxa"/>
          </w:tcPr>
          <w:p w14:paraId="3B012B9E" w14:textId="77777777" w:rsidR="003622E3" w:rsidRDefault="00000000">
            <w:pPr>
              <w:numPr>
                <w:ilvl w:val="0"/>
                <w:numId w:val="4"/>
              </w:numPr>
              <w:pBdr>
                <w:top w:val="nil"/>
                <w:left w:val="nil"/>
                <w:bottom w:val="nil"/>
                <w:right w:val="nil"/>
                <w:between w:val="nil"/>
              </w:pBdr>
              <w:spacing w:line="259" w:lineRule="auto"/>
            </w:pPr>
            <w:r>
              <w:rPr>
                <w:color w:val="000000"/>
              </w:rPr>
              <w:t>Consulting, technical expertise related to the project</w:t>
            </w:r>
          </w:p>
          <w:p w14:paraId="36F32424" w14:textId="77777777" w:rsidR="003622E3" w:rsidRDefault="00000000">
            <w:pPr>
              <w:numPr>
                <w:ilvl w:val="0"/>
                <w:numId w:val="4"/>
              </w:numPr>
              <w:pBdr>
                <w:top w:val="nil"/>
                <w:left w:val="nil"/>
                <w:bottom w:val="nil"/>
                <w:right w:val="nil"/>
                <w:between w:val="nil"/>
              </w:pBdr>
              <w:spacing w:line="259" w:lineRule="auto"/>
            </w:pPr>
            <w:r>
              <w:rPr>
                <w:color w:val="000000"/>
              </w:rPr>
              <w:t>Knowledge transfer support</w:t>
            </w:r>
          </w:p>
          <w:p w14:paraId="28BE4774" w14:textId="77777777" w:rsidR="003622E3" w:rsidRDefault="00000000">
            <w:pPr>
              <w:numPr>
                <w:ilvl w:val="0"/>
                <w:numId w:val="4"/>
              </w:numPr>
              <w:pBdr>
                <w:top w:val="nil"/>
                <w:left w:val="nil"/>
                <w:bottom w:val="nil"/>
                <w:right w:val="nil"/>
                <w:between w:val="nil"/>
              </w:pBdr>
              <w:spacing w:line="259" w:lineRule="auto"/>
            </w:pPr>
            <w:r>
              <w:rPr>
                <w:color w:val="000000"/>
              </w:rPr>
              <w:lastRenderedPageBreak/>
              <w:t>Graphic Design</w:t>
            </w:r>
          </w:p>
          <w:p w14:paraId="26C806D5" w14:textId="77777777" w:rsidR="003622E3" w:rsidRDefault="00000000">
            <w:pPr>
              <w:numPr>
                <w:ilvl w:val="0"/>
                <w:numId w:val="4"/>
              </w:numPr>
              <w:pBdr>
                <w:top w:val="nil"/>
                <w:left w:val="nil"/>
                <w:bottom w:val="nil"/>
                <w:right w:val="nil"/>
                <w:between w:val="nil"/>
              </w:pBdr>
              <w:spacing w:line="259" w:lineRule="auto"/>
            </w:pPr>
            <w:r>
              <w:rPr>
                <w:color w:val="000000"/>
              </w:rPr>
              <w:t>IT support</w:t>
            </w:r>
          </w:p>
          <w:p w14:paraId="62BADD1D" w14:textId="77777777" w:rsidR="003622E3" w:rsidRDefault="00000000">
            <w:pPr>
              <w:numPr>
                <w:ilvl w:val="0"/>
                <w:numId w:val="4"/>
              </w:numPr>
              <w:pBdr>
                <w:top w:val="nil"/>
                <w:left w:val="nil"/>
                <w:bottom w:val="nil"/>
                <w:right w:val="nil"/>
                <w:between w:val="nil"/>
              </w:pBdr>
              <w:spacing w:after="160" w:line="259" w:lineRule="auto"/>
            </w:pPr>
            <w:r>
              <w:rPr>
                <w:color w:val="000000"/>
              </w:rPr>
              <w:t>Multimedia work (filming, photography, etc)</w:t>
            </w:r>
          </w:p>
        </w:tc>
        <w:tc>
          <w:tcPr>
            <w:tcW w:w="3238" w:type="dxa"/>
          </w:tcPr>
          <w:p w14:paraId="35C1832B" w14:textId="77777777" w:rsidR="003622E3" w:rsidRDefault="00000000">
            <w:pPr>
              <w:numPr>
                <w:ilvl w:val="0"/>
                <w:numId w:val="8"/>
              </w:numPr>
              <w:pBdr>
                <w:top w:val="nil"/>
                <w:left w:val="nil"/>
                <w:bottom w:val="nil"/>
                <w:right w:val="nil"/>
                <w:between w:val="nil"/>
              </w:pBdr>
              <w:spacing w:after="160" w:line="259" w:lineRule="auto"/>
            </w:pPr>
            <w:r>
              <w:rPr>
                <w:color w:val="000000"/>
              </w:rPr>
              <w:lastRenderedPageBreak/>
              <w:t>Should normally have a charge and not provided by the institution</w:t>
            </w:r>
          </w:p>
        </w:tc>
        <w:tc>
          <w:tcPr>
            <w:tcW w:w="3238" w:type="dxa"/>
          </w:tcPr>
          <w:p w14:paraId="5BD1D618" w14:textId="77777777" w:rsidR="003622E3" w:rsidRDefault="00000000">
            <w:pPr>
              <w:numPr>
                <w:ilvl w:val="0"/>
                <w:numId w:val="8"/>
              </w:numPr>
              <w:pBdr>
                <w:top w:val="nil"/>
                <w:left w:val="nil"/>
                <w:bottom w:val="nil"/>
                <w:right w:val="nil"/>
                <w:between w:val="nil"/>
              </w:pBdr>
              <w:spacing w:line="259" w:lineRule="auto"/>
            </w:pPr>
            <w:hyperlink r:id="rId12">
              <w:r>
                <w:rPr>
                  <w:color w:val="0563C1"/>
                  <w:u w:val="single"/>
                </w:rPr>
                <w:t>IST Research Computing</w:t>
              </w:r>
            </w:hyperlink>
            <w:r>
              <w:rPr>
                <w:color w:val="000000"/>
              </w:rPr>
              <w:t xml:space="preserve"> Support at the UofA</w:t>
            </w:r>
          </w:p>
          <w:p w14:paraId="1C0F4FE1" w14:textId="77777777" w:rsidR="003622E3" w:rsidRDefault="00000000">
            <w:pPr>
              <w:numPr>
                <w:ilvl w:val="0"/>
                <w:numId w:val="8"/>
              </w:numPr>
              <w:pBdr>
                <w:top w:val="nil"/>
                <w:left w:val="nil"/>
                <w:bottom w:val="nil"/>
                <w:right w:val="nil"/>
                <w:between w:val="nil"/>
              </w:pBdr>
              <w:spacing w:line="259" w:lineRule="auto"/>
            </w:pPr>
            <w:hyperlink r:id="rId13">
              <w:r>
                <w:rPr>
                  <w:color w:val="0563C1"/>
                  <w:u w:val="single"/>
                </w:rPr>
                <w:t>Arts Resource Center</w:t>
              </w:r>
            </w:hyperlink>
            <w:r>
              <w:rPr>
                <w:color w:val="000000"/>
              </w:rPr>
              <w:t xml:space="preserve"> (for FOA)</w:t>
            </w:r>
          </w:p>
          <w:p w14:paraId="12783991" w14:textId="77777777" w:rsidR="003622E3" w:rsidRDefault="00000000">
            <w:pPr>
              <w:numPr>
                <w:ilvl w:val="0"/>
                <w:numId w:val="8"/>
              </w:numPr>
              <w:pBdr>
                <w:top w:val="nil"/>
                <w:left w:val="nil"/>
                <w:bottom w:val="nil"/>
                <w:right w:val="nil"/>
                <w:between w:val="nil"/>
              </w:pBdr>
              <w:spacing w:line="259" w:lineRule="auto"/>
            </w:pPr>
            <w:r>
              <w:rPr>
                <w:color w:val="000000"/>
              </w:rPr>
              <w:lastRenderedPageBreak/>
              <w:t>Consult internet for average costs of professional, technical support services</w:t>
            </w:r>
          </w:p>
          <w:p w14:paraId="29452673" w14:textId="77777777" w:rsidR="003622E3" w:rsidRDefault="00000000">
            <w:pPr>
              <w:numPr>
                <w:ilvl w:val="0"/>
                <w:numId w:val="8"/>
              </w:numPr>
              <w:pBdr>
                <w:top w:val="nil"/>
                <w:left w:val="nil"/>
                <w:bottom w:val="nil"/>
                <w:right w:val="nil"/>
                <w:between w:val="nil"/>
              </w:pBdr>
              <w:spacing w:line="259" w:lineRule="auto"/>
            </w:pPr>
            <w:r>
              <w:t>Consult with service provider for their rates</w:t>
            </w:r>
          </w:p>
          <w:p w14:paraId="5CE0DB26" w14:textId="77777777" w:rsidR="003622E3" w:rsidRDefault="00000000">
            <w:pPr>
              <w:numPr>
                <w:ilvl w:val="0"/>
                <w:numId w:val="8"/>
              </w:numPr>
              <w:pBdr>
                <w:top w:val="nil"/>
                <w:left w:val="nil"/>
                <w:bottom w:val="nil"/>
                <w:right w:val="nil"/>
                <w:between w:val="nil"/>
              </w:pBdr>
              <w:spacing w:after="160" w:line="259" w:lineRule="auto"/>
            </w:pPr>
            <w:r>
              <w:rPr>
                <w:color w:val="000000"/>
              </w:rPr>
              <w:t xml:space="preserve">Check with </w:t>
            </w:r>
            <w:hyperlink r:id="rId14">
              <w:r>
                <w:rPr>
                  <w:color w:val="0563C1"/>
                  <w:u w:val="single"/>
                </w:rPr>
                <w:t>Procurement</w:t>
              </w:r>
            </w:hyperlink>
            <w:r>
              <w:rPr>
                <w:color w:val="000000"/>
              </w:rPr>
              <w:t xml:space="preserve"> for rates, preferred supplies, etc.</w:t>
            </w:r>
          </w:p>
        </w:tc>
      </w:tr>
      <w:tr w:rsidR="003622E3" w14:paraId="50C261A5" w14:textId="77777777">
        <w:tc>
          <w:tcPr>
            <w:tcW w:w="3237" w:type="dxa"/>
          </w:tcPr>
          <w:p w14:paraId="06402C4A" w14:textId="77777777" w:rsidR="003622E3" w:rsidRDefault="00000000">
            <w:r>
              <w:lastRenderedPageBreak/>
              <w:t>Salaries</w:t>
            </w:r>
          </w:p>
        </w:tc>
        <w:tc>
          <w:tcPr>
            <w:tcW w:w="3237" w:type="dxa"/>
          </w:tcPr>
          <w:p w14:paraId="66EFB6C5" w14:textId="77777777" w:rsidR="003622E3" w:rsidRDefault="00000000">
            <w:pPr>
              <w:numPr>
                <w:ilvl w:val="0"/>
                <w:numId w:val="5"/>
              </w:numPr>
              <w:pBdr>
                <w:top w:val="nil"/>
                <w:left w:val="nil"/>
                <w:bottom w:val="nil"/>
                <w:right w:val="nil"/>
                <w:between w:val="nil"/>
              </w:pBdr>
              <w:spacing w:line="259" w:lineRule="auto"/>
            </w:pPr>
            <w:r>
              <w:rPr>
                <w:color w:val="000000"/>
              </w:rPr>
              <w:t>The salary, or portion of, for personnel employed by partner who are devoting time that is outside of their normal occupational activities</w:t>
            </w:r>
          </w:p>
          <w:p w14:paraId="1543A3FF" w14:textId="77777777" w:rsidR="003622E3" w:rsidRDefault="00000000">
            <w:pPr>
              <w:numPr>
                <w:ilvl w:val="0"/>
                <w:numId w:val="5"/>
              </w:numPr>
              <w:pBdr>
                <w:top w:val="nil"/>
                <w:left w:val="nil"/>
                <w:bottom w:val="nil"/>
                <w:right w:val="nil"/>
                <w:between w:val="nil"/>
              </w:pBdr>
              <w:spacing w:line="259" w:lineRule="auto"/>
            </w:pPr>
            <w:r>
              <w:rPr>
                <w:color w:val="000000"/>
              </w:rPr>
              <w:t>Project Manager who is devoting time that is outside of their normal activities</w:t>
            </w:r>
          </w:p>
          <w:p w14:paraId="5EF72DD9" w14:textId="77777777" w:rsidR="003622E3" w:rsidRDefault="00000000">
            <w:pPr>
              <w:numPr>
                <w:ilvl w:val="0"/>
                <w:numId w:val="5"/>
              </w:numPr>
              <w:pBdr>
                <w:top w:val="nil"/>
                <w:left w:val="nil"/>
                <w:bottom w:val="nil"/>
                <w:right w:val="nil"/>
                <w:between w:val="nil"/>
              </w:pBdr>
              <w:spacing w:line="259" w:lineRule="auto"/>
            </w:pPr>
            <w:r>
              <w:rPr>
                <w:color w:val="000000"/>
              </w:rPr>
              <w:t>Research Support staff who are devoting time that is outside of their normal occupational activities</w:t>
            </w:r>
          </w:p>
          <w:p w14:paraId="4BA6D139" w14:textId="77777777" w:rsidR="003622E3" w:rsidRDefault="00000000">
            <w:pPr>
              <w:numPr>
                <w:ilvl w:val="0"/>
                <w:numId w:val="5"/>
              </w:numPr>
            </w:pPr>
            <w:r>
              <w:t>Actual costs to the institution for release time from teaching duties (eg. Cost of hiring a sessional instructor)</w:t>
            </w:r>
          </w:p>
          <w:p w14:paraId="59B5470E" w14:textId="77777777" w:rsidR="003622E3" w:rsidRDefault="003622E3">
            <w:pPr>
              <w:pBdr>
                <w:top w:val="nil"/>
                <w:left w:val="nil"/>
                <w:bottom w:val="nil"/>
                <w:right w:val="nil"/>
                <w:between w:val="nil"/>
              </w:pBdr>
              <w:spacing w:after="160" w:line="259" w:lineRule="auto"/>
              <w:ind w:left="720"/>
              <w:rPr>
                <w:color w:val="000000"/>
              </w:rPr>
            </w:pPr>
          </w:p>
        </w:tc>
        <w:tc>
          <w:tcPr>
            <w:tcW w:w="3238" w:type="dxa"/>
          </w:tcPr>
          <w:p w14:paraId="1A73CBA4" w14:textId="77777777" w:rsidR="003622E3" w:rsidRDefault="00000000">
            <w:pPr>
              <w:numPr>
                <w:ilvl w:val="0"/>
                <w:numId w:val="8"/>
              </w:numPr>
              <w:pBdr>
                <w:top w:val="nil"/>
                <w:left w:val="nil"/>
                <w:bottom w:val="nil"/>
                <w:right w:val="nil"/>
                <w:between w:val="nil"/>
              </w:pBdr>
              <w:spacing w:line="259" w:lineRule="auto"/>
            </w:pPr>
            <w:r>
              <w:rPr>
                <w:color w:val="000000"/>
              </w:rPr>
              <w:t>Not typically eligible include salary and costs of administrative staff, management activities not directly related to project, salary overheads, and external charge-out or consultant rates</w:t>
            </w:r>
          </w:p>
          <w:p w14:paraId="6758071A" w14:textId="77777777" w:rsidR="003622E3" w:rsidRDefault="00000000">
            <w:pPr>
              <w:numPr>
                <w:ilvl w:val="0"/>
                <w:numId w:val="8"/>
              </w:numPr>
              <w:pBdr>
                <w:top w:val="nil"/>
                <w:left w:val="nil"/>
                <w:bottom w:val="nil"/>
                <w:right w:val="nil"/>
                <w:between w:val="nil"/>
              </w:pBdr>
              <w:spacing w:line="259" w:lineRule="auto"/>
            </w:pPr>
            <w:r>
              <w:rPr>
                <w:color w:val="000000"/>
              </w:rPr>
              <w:t>Not typically eligible are payments to the project director, co-applicants or collaborators as consulting fees or honoraria</w:t>
            </w:r>
          </w:p>
          <w:p w14:paraId="371556F3" w14:textId="77777777" w:rsidR="003622E3" w:rsidRDefault="00000000">
            <w:pPr>
              <w:numPr>
                <w:ilvl w:val="0"/>
                <w:numId w:val="8"/>
              </w:numPr>
              <w:pBdr>
                <w:top w:val="nil"/>
                <w:left w:val="nil"/>
                <w:bottom w:val="nil"/>
                <w:right w:val="nil"/>
                <w:between w:val="nil"/>
              </w:pBdr>
              <w:spacing w:line="259" w:lineRule="auto"/>
            </w:pPr>
            <w:r>
              <w:rPr>
                <w:color w:val="000000"/>
              </w:rPr>
              <w:t>The salary costs for employing experts with regards to the Tri-Council is typically a maximum of $80 unless a justification for higher is provided</w:t>
            </w:r>
          </w:p>
          <w:p w14:paraId="48B56E56" w14:textId="77777777" w:rsidR="003622E3" w:rsidRDefault="00000000">
            <w:pPr>
              <w:numPr>
                <w:ilvl w:val="0"/>
                <w:numId w:val="8"/>
              </w:numPr>
              <w:pBdr>
                <w:top w:val="nil"/>
                <w:left w:val="nil"/>
                <w:bottom w:val="nil"/>
                <w:right w:val="nil"/>
                <w:between w:val="nil"/>
              </w:pBdr>
              <w:spacing w:after="160" w:line="259" w:lineRule="auto"/>
            </w:pPr>
            <w:r>
              <w:rPr>
                <w:color w:val="000000"/>
              </w:rPr>
              <w:t>Not typically eligible are the Academic salaries</w:t>
            </w:r>
          </w:p>
        </w:tc>
        <w:tc>
          <w:tcPr>
            <w:tcW w:w="3238" w:type="dxa"/>
          </w:tcPr>
          <w:p w14:paraId="7356ACB6" w14:textId="77777777" w:rsidR="003622E3" w:rsidRDefault="00000000">
            <w:pPr>
              <w:numPr>
                <w:ilvl w:val="0"/>
                <w:numId w:val="8"/>
              </w:numPr>
              <w:pBdr>
                <w:top w:val="nil"/>
                <w:left w:val="nil"/>
                <w:bottom w:val="nil"/>
                <w:right w:val="nil"/>
                <w:between w:val="nil"/>
              </w:pBdr>
              <w:spacing w:line="259" w:lineRule="auto"/>
            </w:pPr>
            <w:r>
              <w:rPr>
                <w:color w:val="000000"/>
              </w:rPr>
              <w:t>Inquire with the partner organization for the salary rates of the personnel contributing their time to the project</w:t>
            </w:r>
          </w:p>
          <w:p w14:paraId="5F2CA94B" w14:textId="77777777" w:rsidR="003622E3" w:rsidRDefault="00000000">
            <w:pPr>
              <w:numPr>
                <w:ilvl w:val="0"/>
                <w:numId w:val="8"/>
              </w:numPr>
              <w:spacing w:line="259" w:lineRule="auto"/>
            </w:pPr>
            <w:r>
              <w:t>Consult your faculty and department</w:t>
            </w:r>
          </w:p>
          <w:p w14:paraId="4F6780BB" w14:textId="77777777" w:rsidR="003622E3" w:rsidRDefault="003622E3">
            <w:pPr>
              <w:pBdr>
                <w:top w:val="nil"/>
                <w:left w:val="nil"/>
                <w:bottom w:val="nil"/>
                <w:right w:val="nil"/>
                <w:between w:val="nil"/>
              </w:pBdr>
              <w:spacing w:after="160" w:line="259" w:lineRule="auto"/>
              <w:ind w:left="410"/>
              <w:rPr>
                <w:color w:val="000000"/>
              </w:rPr>
            </w:pPr>
          </w:p>
        </w:tc>
      </w:tr>
      <w:tr w:rsidR="003622E3" w14:paraId="600080E4" w14:textId="77777777">
        <w:tc>
          <w:tcPr>
            <w:tcW w:w="3237" w:type="dxa"/>
          </w:tcPr>
          <w:p w14:paraId="4C28DD5E" w14:textId="77777777" w:rsidR="003622E3" w:rsidRDefault="00000000">
            <w:r>
              <w:t>Partner Remunerations</w:t>
            </w:r>
          </w:p>
        </w:tc>
        <w:tc>
          <w:tcPr>
            <w:tcW w:w="3237" w:type="dxa"/>
          </w:tcPr>
          <w:p w14:paraId="56C1449A" w14:textId="77777777" w:rsidR="003622E3" w:rsidRDefault="00000000">
            <w:pPr>
              <w:numPr>
                <w:ilvl w:val="0"/>
                <w:numId w:val="6"/>
              </w:numPr>
              <w:spacing w:line="259" w:lineRule="auto"/>
            </w:pPr>
            <w:r>
              <w:t xml:space="preserve">The salary, or portion of, for personnel employed </w:t>
            </w:r>
            <w:r>
              <w:lastRenderedPageBreak/>
              <w:t>by partner who are devoting time that is outside of their normal occupational activities</w:t>
            </w:r>
          </w:p>
          <w:p w14:paraId="4F719F89" w14:textId="77777777" w:rsidR="003622E3" w:rsidRDefault="00000000">
            <w:pPr>
              <w:numPr>
                <w:ilvl w:val="0"/>
                <w:numId w:val="6"/>
              </w:numPr>
              <w:pBdr>
                <w:top w:val="nil"/>
                <w:left w:val="nil"/>
                <w:bottom w:val="nil"/>
                <w:right w:val="nil"/>
                <w:between w:val="nil"/>
              </w:pBdr>
              <w:spacing w:line="259" w:lineRule="auto"/>
            </w:pPr>
            <w:r>
              <w:t>Advertising in a Partner Publication</w:t>
            </w:r>
          </w:p>
        </w:tc>
        <w:tc>
          <w:tcPr>
            <w:tcW w:w="3238" w:type="dxa"/>
          </w:tcPr>
          <w:p w14:paraId="55023192" w14:textId="77777777" w:rsidR="003622E3" w:rsidRDefault="00000000">
            <w:pPr>
              <w:numPr>
                <w:ilvl w:val="0"/>
                <w:numId w:val="8"/>
              </w:numPr>
              <w:pBdr>
                <w:top w:val="nil"/>
                <w:left w:val="nil"/>
                <w:bottom w:val="nil"/>
                <w:right w:val="nil"/>
                <w:between w:val="nil"/>
              </w:pBdr>
              <w:spacing w:after="160" w:line="259" w:lineRule="auto"/>
            </w:pPr>
            <w:r>
              <w:rPr>
                <w:color w:val="000000"/>
              </w:rPr>
              <w:lastRenderedPageBreak/>
              <w:t xml:space="preserve">Not typically eligible are payments to the project </w:t>
            </w:r>
            <w:r>
              <w:rPr>
                <w:color w:val="000000"/>
              </w:rPr>
              <w:lastRenderedPageBreak/>
              <w:t>director, co-applicants or collaborators as consulting fees or honoraria</w:t>
            </w:r>
          </w:p>
          <w:p w14:paraId="50348FF8" w14:textId="77777777" w:rsidR="003622E3" w:rsidRDefault="003622E3"/>
        </w:tc>
        <w:tc>
          <w:tcPr>
            <w:tcW w:w="3238" w:type="dxa"/>
          </w:tcPr>
          <w:p w14:paraId="0B840672" w14:textId="77777777" w:rsidR="003622E3" w:rsidRDefault="00000000">
            <w:pPr>
              <w:numPr>
                <w:ilvl w:val="0"/>
                <w:numId w:val="8"/>
              </w:numPr>
              <w:pBdr>
                <w:top w:val="nil"/>
                <w:left w:val="nil"/>
                <w:bottom w:val="nil"/>
                <w:right w:val="nil"/>
                <w:between w:val="nil"/>
              </w:pBdr>
              <w:spacing w:line="259" w:lineRule="auto"/>
            </w:pPr>
            <w:r>
              <w:lastRenderedPageBreak/>
              <w:t>Check with partners for their advertising rates</w:t>
            </w:r>
          </w:p>
          <w:p w14:paraId="62F805B9" w14:textId="77777777" w:rsidR="003622E3" w:rsidRDefault="00000000">
            <w:pPr>
              <w:numPr>
                <w:ilvl w:val="0"/>
                <w:numId w:val="8"/>
              </w:numPr>
              <w:spacing w:line="259" w:lineRule="auto"/>
            </w:pPr>
            <w:r>
              <w:lastRenderedPageBreak/>
              <w:t>Inquire with the partner organization for the salary rates of the personnel contributing their time to the project</w:t>
            </w:r>
          </w:p>
        </w:tc>
      </w:tr>
      <w:tr w:rsidR="003622E3" w14:paraId="337ACDC8" w14:textId="77777777">
        <w:tc>
          <w:tcPr>
            <w:tcW w:w="3237" w:type="dxa"/>
          </w:tcPr>
          <w:p w14:paraId="0E5DA03E" w14:textId="77777777" w:rsidR="003622E3" w:rsidRDefault="00000000">
            <w:r>
              <w:lastRenderedPageBreak/>
              <w:t>Travel</w:t>
            </w:r>
          </w:p>
        </w:tc>
        <w:tc>
          <w:tcPr>
            <w:tcW w:w="3237" w:type="dxa"/>
          </w:tcPr>
          <w:p w14:paraId="38D93634" w14:textId="77777777" w:rsidR="003622E3" w:rsidRDefault="00000000">
            <w:pPr>
              <w:numPr>
                <w:ilvl w:val="0"/>
                <w:numId w:val="6"/>
              </w:numPr>
              <w:pBdr>
                <w:top w:val="nil"/>
                <w:left w:val="nil"/>
                <w:bottom w:val="nil"/>
                <w:right w:val="nil"/>
                <w:between w:val="nil"/>
              </w:pBdr>
              <w:spacing w:line="259" w:lineRule="auto"/>
            </w:pPr>
            <w:r>
              <w:rPr>
                <w:color w:val="000000"/>
              </w:rPr>
              <w:t>Reasonable out-of-pocket travel and subsistence expenses related to the project</w:t>
            </w:r>
          </w:p>
          <w:p w14:paraId="00012DE7" w14:textId="77777777" w:rsidR="003622E3" w:rsidRDefault="00000000">
            <w:pPr>
              <w:numPr>
                <w:ilvl w:val="0"/>
                <w:numId w:val="6"/>
              </w:numPr>
              <w:pBdr>
                <w:top w:val="nil"/>
                <w:left w:val="nil"/>
                <w:bottom w:val="nil"/>
                <w:right w:val="nil"/>
                <w:between w:val="nil"/>
              </w:pBdr>
              <w:spacing w:line="259" w:lineRule="auto"/>
            </w:pPr>
            <w:r>
              <w:rPr>
                <w:color w:val="000000"/>
              </w:rPr>
              <w:t>Use of Air Miles points</w:t>
            </w:r>
          </w:p>
          <w:p w14:paraId="484AB58F" w14:textId="77777777" w:rsidR="003622E3" w:rsidRDefault="00000000">
            <w:pPr>
              <w:numPr>
                <w:ilvl w:val="0"/>
                <w:numId w:val="6"/>
              </w:numPr>
              <w:pBdr>
                <w:top w:val="nil"/>
                <w:left w:val="nil"/>
                <w:bottom w:val="nil"/>
                <w:right w:val="nil"/>
                <w:between w:val="nil"/>
              </w:pBdr>
              <w:spacing w:line="259" w:lineRule="auto"/>
            </w:pPr>
            <w:r>
              <w:rPr>
                <w:color w:val="000000"/>
              </w:rPr>
              <w:t xml:space="preserve">Conference registration fees; or proportion of, if only part of the conference focuses on topics related to the project </w:t>
            </w:r>
          </w:p>
          <w:p w14:paraId="75240318" w14:textId="77777777" w:rsidR="003622E3" w:rsidRDefault="00000000">
            <w:pPr>
              <w:numPr>
                <w:ilvl w:val="0"/>
                <w:numId w:val="6"/>
              </w:numPr>
              <w:pBdr>
                <w:top w:val="nil"/>
                <w:left w:val="nil"/>
                <w:bottom w:val="nil"/>
                <w:right w:val="nil"/>
                <w:between w:val="nil"/>
              </w:pBdr>
              <w:spacing w:after="160" w:line="259" w:lineRule="auto"/>
            </w:pPr>
            <w:r>
              <w:rPr>
                <w:color w:val="000000"/>
              </w:rPr>
              <w:t>Partner organizations paying for the travel of their employees to project related activities</w:t>
            </w:r>
          </w:p>
        </w:tc>
        <w:tc>
          <w:tcPr>
            <w:tcW w:w="3238" w:type="dxa"/>
          </w:tcPr>
          <w:p w14:paraId="019796C0" w14:textId="77777777" w:rsidR="003622E3" w:rsidRDefault="00000000">
            <w:pPr>
              <w:numPr>
                <w:ilvl w:val="0"/>
                <w:numId w:val="8"/>
              </w:numPr>
              <w:pBdr>
                <w:top w:val="nil"/>
                <w:left w:val="nil"/>
                <w:bottom w:val="nil"/>
                <w:right w:val="nil"/>
                <w:between w:val="nil"/>
              </w:pBdr>
              <w:spacing w:after="160" w:line="259" w:lineRule="auto"/>
            </w:pPr>
            <w:r>
              <w:rPr>
                <w:color w:val="000000"/>
              </w:rPr>
              <w:t>These are ineligible if the travel and subsistence fees are not related to the project</w:t>
            </w:r>
          </w:p>
        </w:tc>
        <w:tc>
          <w:tcPr>
            <w:tcW w:w="3238" w:type="dxa"/>
          </w:tcPr>
          <w:p w14:paraId="2F7EEDF0" w14:textId="77777777" w:rsidR="003622E3" w:rsidRDefault="00000000">
            <w:pPr>
              <w:numPr>
                <w:ilvl w:val="0"/>
                <w:numId w:val="8"/>
              </w:numPr>
              <w:spacing w:after="160" w:line="259" w:lineRule="auto"/>
            </w:pPr>
            <w:r>
              <w:t>Consult partner organization for the travel costs they are paying for</w:t>
            </w:r>
          </w:p>
        </w:tc>
      </w:tr>
    </w:tbl>
    <w:p w14:paraId="09353C7A" w14:textId="77777777" w:rsidR="003622E3" w:rsidRDefault="00000000">
      <w:r>
        <w:t>Sources:</w:t>
      </w:r>
    </w:p>
    <w:p w14:paraId="5A5DC2BD" w14:textId="77777777" w:rsidR="003622E3" w:rsidRDefault="00000000">
      <w:hyperlink r:id="rId15">
        <w:r>
          <w:rPr>
            <w:color w:val="0563C1"/>
            <w:u w:val="single"/>
          </w:rPr>
          <w:t>SSHRC Guidelines for Cash and In-Kind Contributions</w:t>
        </w:r>
      </w:hyperlink>
    </w:p>
    <w:p w14:paraId="5A04A782" w14:textId="77777777" w:rsidR="003622E3" w:rsidRDefault="00000000">
      <w:hyperlink r:id="rId16">
        <w:r>
          <w:rPr>
            <w:color w:val="0563C1"/>
            <w:u w:val="single"/>
          </w:rPr>
          <w:t>CIHR In-Kind Contributions</w:t>
        </w:r>
      </w:hyperlink>
    </w:p>
    <w:p w14:paraId="7F9B1C76" w14:textId="77777777" w:rsidR="003622E3" w:rsidRDefault="00000000">
      <w:hyperlink r:id="rId17" w:anchor="justification">
        <w:r>
          <w:rPr>
            <w:color w:val="0563C1"/>
            <w:u w:val="single"/>
          </w:rPr>
          <w:t>NSERC Justification for In-Kind Contributions</w:t>
        </w:r>
      </w:hyperlink>
      <w:r>
        <w:t xml:space="preserve"> in Alliance Grants</w:t>
      </w:r>
    </w:p>
    <w:sectPr w:rsidR="003622E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5669" w14:textId="77777777" w:rsidR="0022159A" w:rsidRDefault="0022159A">
      <w:pPr>
        <w:spacing w:after="0" w:line="240" w:lineRule="auto"/>
      </w:pPr>
      <w:r>
        <w:separator/>
      </w:r>
    </w:p>
  </w:endnote>
  <w:endnote w:type="continuationSeparator" w:id="0">
    <w:p w14:paraId="7651427B" w14:textId="77777777" w:rsidR="0022159A" w:rsidRDefault="002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4AF5" w14:textId="77777777" w:rsidR="0022159A" w:rsidRDefault="0022159A">
      <w:pPr>
        <w:spacing w:after="0" w:line="240" w:lineRule="auto"/>
      </w:pPr>
      <w:r>
        <w:separator/>
      </w:r>
    </w:p>
  </w:footnote>
  <w:footnote w:type="continuationSeparator" w:id="0">
    <w:p w14:paraId="6D8D4962" w14:textId="77777777" w:rsidR="0022159A" w:rsidRDefault="0022159A">
      <w:pPr>
        <w:spacing w:after="0" w:line="240" w:lineRule="auto"/>
      </w:pPr>
      <w:r>
        <w:continuationSeparator/>
      </w:r>
    </w:p>
  </w:footnote>
  <w:footnote w:id="1">
    <w:p w14:paraId="4BF2DE53" w14:textId="77777777" w:rsidR="003622E3"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“Fair market value” is </w:t>
      </w:r>
      <w:hyperlink r:id="rId1" w:anchor="a5">
        <w:r>
          <w:rPr>
            <w:color w:val="0563C1"/>
            <w:sz w:val="20"/>
            <w:szCs w:val="20"/>
            <w:u w:val="single"/>
          </w:rPr>
          <w:t>defined</w:t>
        </w:r>
      </w:hyperlink>
      <w:r>
        <w:rPr>
          <w:color w:val="000000"/>
          <w:sz w:val="20"/>
          <w:szCs w:val="20"/>
        </w:rPr>
        <w:t xml:space="preserve"> as the agreed-upon price in an open and unrestricted market between knowledgeable and willing parties who are dealing at arm’s length and who are fully informed. The fair market value is the price an institution would be expected to pay in such circumstances, after normal and educational discounts.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B4673"/>
    <w:multiLevelType w:val="multilevel"/>
    <w:tmpl w:val="D3225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E34EE2"/>
    <w:multiLevelType w:val="multilevel"/>
    <w:tmpl w:val="FA0AD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5A2FD2"/>
    <w:multiLevelType w:val="multilevel"/>
    <w:tmpl w:val="773A8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4C38B5"/>
    <w:multiLevelType w:val="multilevel"/>
    <w:tmpl w:val="84AC1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6633A3"/>
    <w:multiLevelType w:val="multilevel"/>
    <w:tmpl w:val="64988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113EE7"/>
    <w:multiLevelType w:val="multilevel"/>
    <w:tmpl w:val="AF18A816"/>
    <w:lvl w:ilvl="0">
      <w:numFmt w:val="bullet"/>
      <w:lvlText w:val="-"/>
      <w:lvlJc w:val="left"/>
      <w:pPr>
        <w:ind w:left="410" w:hanging="360"/>
      </w:pPr>
      <w:rPr>
        <w:rFonts w:ascii="Calibri" w:eastAsia="Calibri" w:hAnsi="Calibri" w:cs="Calibri"/>
      </w:rPr>
    </w:lvl>
    <w:lvl w:ilvl="1">
      <w:start w:val="1"/>
      <w:numFmt w:val="bullet"/>
      <w:lvlText w:val="o"/>
      <w:lvlJc w:val="left"/>
      <w:pPr>
        <w:ind w:left="1130" w:hanging="360"/>
      </w:pPr>
      <w:rPr>
        <w:rFonts w:ascii="Courier New" w:eastAsia="Courier New" w:hAnsi="Courier New" w:cs="Courier New"/>
      </w:rPr>
    </w:lvl>
    <w:lvl w:ilvl="2">
      <w:start w:val="1"/>
      <w:numFmt w:val="bullet"/>
      <w:lvlText w:val="▪"/>
      <w:lvlJc w:val="left"/>
      <w:pPr>
        <w:ind w:left="1850" w:hanging="360"/>
      </w:pPr>
      <w:rPr>
        <w:rFonts w:ascii="Noto Sans Symbols" w:eastAsia="Noto Sans Symbols" w:hAnsi="Noto Sans Symbols" w:cs="Noto Sans Symbols"/>
      </w:rPr>
    </w:lvl>
    <w:lvl w:ilvl="3">
      <w:start w:val="1"/>
      <w:numFmt w:val="bullet"/>
      <w:lvlText w:val="●"/>
      <w:lvlJc w:val="left"/>
      <w:pPr>
        <w:ind w:left="2570" w:hanging="360"/>
      </w:pPr>
      <w:rPr>
        <w:rFonts w:ascii="Noto Sans Symbols" w:eastAsia="Noto Sans Symbols" w:hAnsi="Noto Sans Symbols" w:cs="Noto Sans Symbols"/>
      </w:rPr>
    </w:lvl>
    <w:lvl w:ilvl="4">
      <w:start w:val="1"/>
      <w:numFmt w:val="bullet"/>
      <w:lvlText w:val="o"/>
      <w:lvlJc w:val="left"/>
      <w:pPr>
        <w:ind w:left="3290" w:hanging="360"/>
      </w:pPr>
      <w:rPr>
        <w:rFonts w:ascii="Courier New" w:eastAsia="Courier New" w:hAnsi="Courier New" w:cs="Courier New"/>
      </w:rPr>
    </w:lvl>
    <w:lvl w:ilvl="5">
      <w:start w:val="1"/>
      <w:numFmt w:val="bullet"/>
      <w:lvlText w:val="▪"/>
      <w:lvlJc w:val="left"/>
      <w:pPr>
        <w:ind w:left="4010" w:hanging="360"/>
      </w:pPr>
      <w:rPr>
        <w:rFonts w:ascii="Noto Sans Symbols" w:eastAsia="Noto Sans Symbols" w:hAnsi="Noto Sans Symbols" w:cs="Noto Sans Symbols"/>
      </w:rPr>
    </w:lvl>
    <w:lvl w:ilvl="6">
      <w:start w:val="1"/>
      <w:numFmt w:val="bullet"/>
      <w:lvlText w:val="●"/>
      <w:lvlJc w:val="left"/>
      <w:pPr>
        <w:ind w:left="4730" w:hanging="360"/>
      </w:pPr>
      <w:rPr>
        <w:rFonts w:ascii="Noto Sans Symbols" w:eastAsia="Noto Sans Symbols" w:hAnsi="Noto Sans Symbols" w:cs="Noto Sans Symbols"/>
      </w:rPr>
    </w:lvl>
    <w:lvl w:ilvl="7">
      <w:start w:val="1"/>
      <w:numFmt w:val="bullet"/>
      <w:lvlText w:val="o"/>
      <w:lvlJc w:val="left"/>
      <w:pPr>
        <w:ind w:left="5450" w:hanging="360"/>
      </w:pPr>
      <w:rPr>
        <w:rFonts w:ascii="Courier New" w:eastAsia="Courier New" w:hAnsi="Courier New" w:cs="Courier New"/>
      </w:rPr>
    </w:lvl>
    <w:lvl w:ilvl="8">
      <w:start w:val="1"/>
      <w:numFmt w:val="bullet"/>
      <w:lvlText w:val="▪"/>
      <w:lvlJc w:val="left"/>
      <w:pPr>
        <w:ind w:left="6170" w:hanging="360"/>
      </w:pPr>
      <w:rPr>
        <w:rFonts w:ascii="Noto Sans Symbols" w:eastAsia="Noto Sans Symbols" w:hAnsi="Noto Sans Symbols" w:cs="Noto Sans Symbols"/>
      </w:rPr>
    </w:lvl>
  </w:abstractNum>
  <w:abstractNum w:abstractNumId="6" w15:restartNumberingAfterBreak="0">
    <w:nsid w:val="6FAA1771"/>
    <w:multiLevelType w:val="multilevel"/>
    <w:tmpl w:val="F50A3272"/>
    <w:lvl w:ilvl="0">
      <w:start w:val="1"/>
      <w:numFmt w:val="bullet"/>
      <w:lvlText w:val="●"/>
      <w:lvlJc w:val="left"/>
      <w:pPr>
        <w:ind w:left="4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7A04C1"/>
    <w:multiLevelType w:val="multilevel"/>
    <w:tmpl w:val="4056B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310587">
    <w:abstractNumId w:val="3"/>
  </w:num>
  <w:num w:numId="2" w16cid:durableId="1301692552">
    <w:abstractNumId w:val="0"/>
  </w:num>
  <w:num w:numId="3" w16cid:durableId="1679654799">
    <w:abstractNumId w:val="6"/>
  </w:num>
  <w:num w:numId="4" w16cid:durableId="618801066">
    <w:abstractNumId w:val="4"/>
  </w:num>
  <w:num w:numId="5" w16cid:durableId="1270895593">
    <w:abstractNumId w:val="1"/>
  </w:num>
  <w:num w:numId="6" w16cid:durableId="742222715">
    <w:abstractNumId w:val="7"/>
  </w:num>
  <w:num w:numId="7" w16cid:durableId="1680540880">
    <w:abstractNumId w:val="2"/>
  </w:num>
  <w:num w:numId="8" w16cid:durableId="1223518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E3"/>
    <w:rsid w:val="0022159A"/>
    <w:rsid w:val="003622E3"/>
    <w:rsid w:val="00452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1887"/>
  <w15:docId w15:val="{4B424EBD-B26F-460B-BC02-942EC371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D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58C"/>
    <w:rPr>
      <w:color w:val="0563C1" w:themeColor="hyperlink"/>
      <w:u w:val="single"/>
    </w:rPr>
  </w:style>
  <w:style w:type="paragraph" w:styleId="ListParagraph">
    <w:name w:val="List Paragraph"/>
    <w:basedOn w:val="Normal"/>
    <w:uiPriority w:val="34"/>
    <w:qFormat/>
    <w:rsid w:val="00B9358C"/>
    <w:pPr>
      <w:ind w:left="720"/>
      <w:contextualSpacing/>
    </w:pPr>
  </w:style>
  <w:style w:type="paragraph" w:styleId="FootnoteText">
    <w:name w:val="footnote text"/>
    <w:basedOn w:val="Normal"/>
    <w:link w:val="FootnoteTextChar"/>
    <w:uiPriority w:val="99"/>
    <w:semiHidden/>
    <w:unhideWhenUsed/>
    <w:rsid w:val="00D612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221"/>
    <w:rPr>
      <w:sz w:val="20"/>
      <w:szCs w:val="20"/>
    </w:rPr>
  </w:style>
  <w:style w:type="character" w:styleId="FootnoteReference">
    <w:name w:val="footnote reference"/>
    <w:basedOn w:val="DefaultParagraphFont"/>
    <w:uiPriority w:val="99"/>
    <w:semiHidden/>
    <w:unhideWhenUsed/>
    <w:rsid w:val="00D61221"/>
    <w:rPr>
      <w:vertAlign w:val="superscript"/>
    </w:rPr>
  </w:style>
  <w:style w:type="character" w:styleId="CommentReference">
    <w:name w:val="annotation reference"/>
    <w:basedOn w:val="DefaultParagraphFont"/>
    <w:uiPriority w:val="99"/>
    <w:semiHidden/>
    <w:unhideWhenUsed/>
    <w:rsid w:val="0037586A"/>
    <w:rPr>
      <w:sz w:val="16"/>
      <w:szCs w:val="16"/>
    </w:rPr>
  </w:style>
  <w:style w:type="paragraph" w:styleId="CommentText">
    <w:name w:val="annotation text"/>
    <w:basedOn w:val="Normal"/>
    <w:link w:val="CommentTextChar"/>
    <w:uiPriority w:val="99"/>
    <w:semiHidden/>
    <w:unhideWhenUsed/>
    <w:rsid w:val="0037586A"/>
    <w:pPr>
      <w:spacing w:line="240" w:lineRule="auto"/>
    </w:pPr>
    <w:rPr>
      <w:sz w:val="20"/>
      <w:szCs w:val="20"/>
    </w:rPr>
  </w:style>
  <w:style w:type="character" w:customStyle="1" w:styleId="CommentTextChar">
    <w:name w:val="Comment Text Char"/>
    <w:basedOn w:val="DefaultParagraphFont"/>
    <w:link w:val="CommentText"/>
    <w:uiPriority w:val="99"/>
    <w:semiHidden/>
    <w:rsid w:val="0037586A"/>
    <w:rPr>
      <w:sz w:val="20"/>
      <w:szCs w:val="20"/>
    </w:rPr>
  </w:style>
  <w:style w:type="paragraph" w:styleId="CommentSubject">
    <w:name w:val="annotation subject"/>
    <w:basedOn w:val="CommentText"/>
    <w:next w:val="CommentText"/>
    <w:link w:val="CommentSubjectChar"/>
    <w:uiPriority w:val="99"/>
    <w:semiHidden/>
    <w:unhideWhenUsed/>
    <w:rsid w:val="0037586A"/>
    <w:rPr>
      <w:b/>
      <w:bCs/>
    </w:rPr>
  </w:style>
  <w:style w:type="character" w:customStyle="1" w:styleId="CommentSubjectChar">
    <w:name w:val="Comment Subject Char"/>
    <w:basedOn w:val="CommentTextChar"/>
    <w:link w:val="CommentSubject"/>
    <w:uiPriority w:val="99"/>
    <w:semiHidden/>
    <w:rsid w:val="0037586A"/>
    <w:rPr>
      <w:b/>
      <w:bCs/>
      <w:sz w:val="20"/>
      <w:szCs w:val="20"/>
    </w:rPr>
  </w:style>
  <w:style w:type="paragraph" w:styleId="BalloonText">
    <w:name w:val="Balloon Text"/>
    <w:basedOn w:val="Normal"/>
    <w:link w:val="BalloonTextChar"/>
    <w:uiPriority w:val="99"/>
    <w:semiHidden/>
    <w:unhideWhenUsed/>
    <w:rsid w:val="0037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86A"/>
    <w:rPr>
      <w:rFonts w:ascii="Segoe UI" w:hAnsi="Segoe UI" w:cs="Segoe UI"/>
      <w:sz w:val="18"/>
      <w:szCs w:val="18"/>
    </w:rPr>
  </w:style>
  <w:style w:type="character" w:styleId="FollowedHyperlink">
    <w:name w:val="FollowedHyperlink"/>
    <w:basedOn w:val="DefaultParagraphFont"/>
    <w:uiPriority w:val="99"/>
    <w:semiHidden/>
    <w:unhideWhenUsed/>
    <w:rsid w:val="007B1795"/>
    <w:rPr>
      <w:color w:val="954F72" w:themeColor="followedHyperlink"/>
      <w:u w:val="single"/>
    </w:rPr>
  </w:style>
  <w:style w:type="paragraph" w:styleId="Revision">
    <w:name w:val="Revision"/>
    <w:hidden/>
    <w:uiPriority w:val="99"/>
    <w:semiHidden/>
    <w:rsid w:val="00AE090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alberta.ca/research/services/contact/research-partner-network.html" TargetMode="External"/><Relationship Id="rId13" Type="http://schemas.openxmlformats.org/officeDocument/2006/relationships/hyperlink" Target="https://arc.arts.ualbert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lberta.ca/information-services-and-technology/research-computing/index.html" TargetMode="External"/><Relationship Id="rId17" Type="http://schemas.openxmlformats.org/officeDocument/2006/relationships/hyperlink" Target="https://www.nserc-crsng.gc.ca/OnlineServices-ServicesEnLigne/instructions/101/alliance_eng.asp" TargetMode="External"/><Relationship Id="rId2" Type="http://schemas.openxmlformats.org/officeDocument/2006/relationships/numbering" Target="numbering.xml"/><Relationship Id="rId16" Type="http://schemas.openxmlformats.org/officeDocument/2006/relationships/hyperlink" Target="https://cihr-irsc.gc.ca/e/375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rary.ualberta.ca/research-support/data-management" TargetMode="External"/><Relationship Id="rId5" Type="http://schemas.openxmlformats.org/officeDocument/2006/relationships/webSettings" Target="webSettings.xml"/><Relationship Id="rId15" Type="http://schemas.openxmlformats.org/officeDocument/2006/relationships/hyperlink" Target="https://www.sshrc-crsh.gc.ca/funding-financement/policies-politiques/cash_inkind-especes_en_nature-eng.aspx" TargetMode="External"/><Relationship Id="rId10" Type="http://schemas.openxmlformats.org/officeDocument/2006/relationships/hyperlink" Target="https://www.ualberta.ca/finance-procurement-planning/procurement/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lberta.ca/finance-procurement-planning/procurement/index.html" TargetMode="External"/><Relationship Id="rId14" Type="http://schemas.openxmlformats.org/officeDocument/2006/relationships/hyperlink" Target="https://www.ualberta.ca/finance-procurement-planning/procurement/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hrc-crsh.gc.ca/funding-financement/policies-politiques/cash_inkind-especes_en_nature-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1jyvAVxjt9tY9bjrQJaQxSZWLg==">CgMxLjA4AHIhMXktS29ha09hRFpJQmhMREc0V180a3psZDNpYmh1UTNm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Craig Taylor</cp:lastModifiedBy>
  <cp:revision>2</cp:revision>
  <dcterms:created xsi:type="dcterms:W3CDTF">2024-03-20T21:46:00Z</dcterms:created>
  <dcterms:modified xsi:type="dcterms:W3CDTF">2024-03-20T21:46:00Z</dcterms:modified>
</cp:coreProperties>
</file>