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9B6" w:rsidRPr="00E049B6" w:rsidRDefault="00E049B6" w:rsidP="00E049B6"/>
    <w:p w:rsidR="00E049B6" w:rsidRDefault="001B66E3" w:rsidP="00E049B6">
      <w:pPr>
        <w:spacing w:after="200" w:line="276" w:lineRule="auto"/>
        <w:jc w:val="center"/>
        <w:rPr>
          <w:rFonts w:asciiTheme="majorHAnsi" w:eastAsiaTheme="minorEastAsia" w:hAnsiTheme="majorHAnsi" w:cs="Arial"/>
          <w:b/>
          <w:szCs w:val="20"/>
          <w:lang w:val="en-GB"/>
        </w:rPr>
      </w:pPr>
      <w:r>
        <w:rPr>
          <w:rFonts w:asciiTheme="majorHAnsi" w:eastAsiaTheme="minorEastAsia" w:hAnsiTheme="majorHAnsi" w:cs="Arial"/>
          <w:b/>
          <w:szCs w:val="20"/>
          <w:lang w:val="en-GB"/>
        </w:rPr>
        <w:t xml:space="preserve">Establishing </w:t>
      </w:r>
      <w:r w:rsidR="00113764">
        <w:rPr>
          <w:rFonts w:asciiTheme="majorHAnsi" w:eastAsiaTheme="minorEastAsia" w:hAnsiTheme="majorHAnsi" w:cs="Arial"/>
          <w:b/>
          <w:szCs w:val="20"/>
          <w:lang w:val="en-GB"/>
        </w:rPr>
        <w:t>Translational Research Pipelines</w:t>
      </w:r>
      <w:r w:rsidR="00180DFE" w:rsidRPr="00180DFE">
        <w:rPr>
          <w:rFonts w:asciiTheme="majorHAnsi" w:eastAsiaTheme="minorEastAsia" w:hAnsiTheme="majorHAnsi" w:cs="Arial"/>
          <w:b/>
          <w:szCs w:val="20"/>
          <w:lang w:val="en-GB"/>
        </w:rPr>
        <w:t xml:space="preserve"> for </w:t>
      </w:r>
      <w:r w:rsidR="00113764">
        <w:rPr>
          <w:rFonts w:asciiTheme="majorHAnsi" w:eastAsiaTheme="minorEastAsia" w:hAnsiTheme="majorHAnsi" w:cs="Arial"/>
          <w:b/>
          <w:szCs w:val="20"/>
          <w:lang w:val="en-GB"/>
        </w:rPr>
        <w:t>S</w:t>
      </w:r>
      <w:r w:rsidR="00180DFE" w:rsidRPr="00180DFE">
        <w:rPr>
          <w:rFonts w:asciiTheme="majorHAnsi" w:eastAsiaTheme="minorEastAsia" w:hAnsiTheme="majorHAnsi" w:cs="Arial"/>
          <w:b/>
          <w:szCs w:val="20"/>
          <w:lang w:val="en-GB"/>
        </w:rPr>
        <w:t xml:space="preserve">mart </w:t>
      </w:r>
      <w:r w:rsidR="00113764">
        <w:rPr>
          <w:rFonts w:asciiTheme="majorHAnsi" w:eastAsiaTheme="minorEastAsia" w:hAnsiTheme="majorHAnsi" w:cs="Arial"/>
          <w:b/>
          <w:szCs w:val="20"/>
          <w:lang w:val="en-GB"/>
        </w:rPr>
        <w:t>D</w:t>
      </w:r>
      <w:r w:rsidR="00180DFE" w:rsidRPr="00180DFE">
        <w:rPr>
          <w:rFonts w:asciiTheme="majorHAnsi" w:eastAsiaTheme="minorEastAsia" w:hAnsiTheme="majorHAnsi" w:cs="Arial"/>
          <w:b/>
          <w:szCs w:val="20"/>
          <w:lang w:val="en-GB"/>
        </w:rPr>
        <w:t>evices</w:t>
      </w:r>
      <w:r>
        <w:rPr>
          <w:rFonts w:asciiTheme="majorHAnsi" w:eastAsiaTheme="minorEastAsia" w:hAnsiTheme="majorHAnsi" w:cs="Arial"/>
          <w:b/>
          <w:szCs w:val="20"/>
          <w:lang w:val="en-GB"/>
        </w:rPr>
        <w:t xml:space="preserve"> </w:t>
      </w:r>
    </w:p>
    <w:p w:rsidR="00E049B6" w:rsidRPr="00E049B6" w:rsidRDefault="00EB399A" w:rsidP="00E049B6">
      <w:pPr>
        <w:pStyle w:val="Subtitle"/>
        <w:jc w:val="center"/>
        <w:rPr>
          <w:rFonts w:eastAsiaTheme="minorEastAsia"/>
          <w:color w:val="auto"/>
          <w:lang w:val="en-GB"/>
        </w:rPr>
      </w:pPr>
      <w:r w:rsidRPr="00E049B6">
        <w:rPr>
          <w:rFonts w:eastAsiaTheme="minorEastAsia"/>
          <w:color w:val="auto"/>
          <w:lang w:val="en-GB"/>
        </w:rPr>
        <w:t xml:space="preserve">Using </w:t>
      </w:r>
      <w:r w:rsidR="001B66E3" w:rsidRPr="00E049B6">
        <w:rPr>
          <w:rFonts w:eastAsiaTheme="minorEastAsia"/>
          <w:color w:val="auto"/>
          <w:lang w:val="en-GB"/>
        </w:rPr>
        <w:t xml:space="preserve">EMG Analysis </w:t>
      </w:r>
      <w:r w:rsidRPr="00E049B6">
        <w:rPr>
          <w:rFonts w:eastAsiaTheme="minorEastAsia"/>
          <w:color w:val="auto"/>
          <w:lang w:val="en-GB"/>
        </w:rPr>
        <w:t xml:space="preserve">to validate </w:t>
      </w:r>
      <w:r w:rsidR="001B66E3" w:rsidRPr="00E049B6">
        <w:rPr>
          <w:rFonts w:eastAsiaTheme="minorEastAsia"/>
          <w:color w:val="auto"/>
          <w:lang w:val="en-GB"/>
        </w:rPr>
        <w:t xml:space="preserve">the </w:t>
      </w:r>
      <w:r w:rsidR="00872926" w:rsidRPr="00E049B6">
        <w:rPr>
          <w:rFonts w:eastAsiaTheme="minorEastAsia"/>
          <w:color w:val="auto"/>
          <w:lang w:val="en-GB"/>
        </w:rPr>
        <w:t>stages</w:t>
      </w:r>
      <w:r w:rsidR="001B66E3" w:rsidRPr="00E049B6">
        <w:rPr>
          <w:rFonts w:eastAsiaTheme="minorEastAsia"/>
          <w:color w:val="auto"/>
          <w:lang w:val="en-GB"/>
        </w:rPr>
        <w:t xml:space="preserve"> </w:t>
      </w:r>
      <w:r w:rsidR="00E40F9E" w:rsidRPr="00E049B6">
        <w:rPr>
          <w:rFonts w:eastAsiaTheme="minorEastAsia"/>
          <w:color w:val="auto"/>
          <w:lang w:val="en-GB"/>
        </w:rPr>
        <w:t xml:space="preserve">to </w:t>
      </w:r>
      <w:r w:rsidR="001B66E3" w:rsidRPr="00E049B6">
        <w:rPr>
          <w:rFonts w:eastAsiaTheme="minorEastAsia"/>
          <w:color w:val="auto"/>
          <w:lang w:val="en-GB"/>
        </w:rPr>
        <w:t>technological maturation</w:t>
      </w:r>
      <w:r w:rsidRPr="00E049B6">
        <w:rPr>
          <w:rFonts w:eastAsiaTheme="minorEastAsia"/>
          <w:color w:val="auto"/>
          <w:lang w:val="en-GB"/>
        </w:rPr>
        <w:t xml:space="preserve"> of a</w:t>
      </w:r>
    </w:p>
    <w:p w:rsidR="00180DFE" w:rsidRDefault="00EB399A" w:rsidP="00E049B6">
      <w:pPr>
        <w:pStyle w:val="Subtitle"/>
        <w:jc w:val="center"/>
        <w:rPr>
          <w:rFonts w:eastAsiaTheme="minorEastAsia"/>
          <w:color w:val="auto"/>
          <w:lang w:val="en-GB"/>
        </w:rPr>
      </w:pPr>
      <w:r w:rsidRPr="00E049B6">
        <w:rPr>
          <w:rFonts w:eastAsiaTheme="minorEastAsia"/>
          <w:color w:val="auto"/>
          <w:lang w:val="en-GB"/>
        </w:rPr>
        <w:t xml:space="preserve">Manual Wheelchair lightweight </w:t>
      </w:r>
      <w:r w:rsidR="00437C23" w:rsidRPr="00E049B6">
        <w:rPr>
          <w:rFonts w:eastAsiaTheme="minorEastAsia"/>
          <w:color w:val="auto"/>
          <w:lang w:val="en-GB"/>
        </w:rPr>
        <w:t xml:space="preserve">sensing </w:t>
      </w:r>
      <w:r w:rsidR="00E049B6" w:rsidRPr="00E049B6">
        <w:rPr>
          <w:rFonts w:eastAsiaTheme="minorEastAsia"/>
          <w:color w:val="auto"/>
          <w:lang w:val="en-GB"/>
        </w:rPr>
        <w:t>hand rim</w:t>
      </w:r>
    </w:p>
    <w:p w:rsidR="00E049B6" w:rsidRPr="00E049B6" w:rsidRDefault="00E049B6" w:rsidP="00E049B6">
      <w:pPr>
        <w:rPr>
          <w:lang w:val="en-GB"/>
        </w:rPr>
      </w:pPr>
    </w:p>
    <w:p w:rsidR="009709D4" w:rsidRDefault="00974A58" w:rsidP="00ED3C60">
      <w:pPr>
        <w:ind w:firstLine="397"/>
        <w:jc w:val="center"/>
        <w:rPr>
          <w:rFonts w:asciiTheme="majorHAnsi" w:hAnsiTheme="majorHAnsi"/>
          <w:color w:val="231F20"/>
          <w:sz w:val="20"/>
          <w:szCs w:val="20"/>
          <w:vertAlign w:val="superscript"/>
        </w:rPr>
      </w:pPr>
      <w:r w:rsidRPr="00180DFE">
        <w:rPr>
          <w:rFonts w:asciiTheme="majorHAnsi" w:hAnsiTheme="majorHAnsi"/>
          <w:color w:val="231F20"/>
          <w:sz w:val="20"/>
          <w:szCs w:val="20"/>
        </w:rPr>
        <w:t>Simon Grange</w:t>
      </w:r>
      <w:r w:rsidRPr="00180DFE">
        <w:rPr>
          <w:rFonts w:asciiTheme="majorHAnsi" w:hAnsiTheme="majorHAnsi"/>
          <w:color w:val="231F20"/>
          <w:sz w:val="20"/>
          <w:szCs w:val="20"/>
          <w:vertAlign w:val="superscript"/>
        </w:rPr>
        <w:t>1</w:t>
      </w:r>
      <w:r>
        <w:rPr>
          <w:rFonts w:asciiTheme="majorHAnsi" w:hAnsiTheme="majorHAnsi"/>
          <w:color w:val="231F20"/>
          <w:sz w:val="20"/>
          <w:szCs w:val="20"/>
          <w:vertAlign w:val="superscript"/>
        </w:rPr>
        <w:t>,2,3,5</w:t>
      </w:r>
      <w:r w:rsidRPr="00974A58">
        <w:rPr>
          <w:rFonts w:asciiTheme="majorHAnsi" w:hAnsiTheme="majorHAnsi"/>
          <w:color w:val="231F20"/>
          <w:sz w:val="20"/>
          <w:szCs w:val="20"/>
        </w:rPr>
        <w:t>,</w:t>
      </w:r>
      <w:r>
        <w:rPr>
          <w:rFonts w:asciiTheme="majorHAnsi" w:hAnsiTheme="majorHAnsi"/>
          <w:color w:val="231F20"/>
          <w:sz w:val="20"/>
          <w:szCs w:val="20"/>
          <w:vertAlign w:val="superscript"/>
        </w:rPr>
        <w:t xml:space="preserve"> </w:t>
      </w:r>
      <w:r w:rsidR="00A3745F" w:rsidRPr="00180DFE">
        <w:rPr>
          <w:rFonts w:asciiTheme="majorHAnsi" w:hAnsiTheme="majorHAnsi"/>
          <w:color w:val="231F20"/>
          <w:sz w:val="20"/>
          <w:szCs w:val="20"/>
        </w:rPr>
        <w:t>Liping Qi</w:t>
      </w:r>
      <w:r w:rsidR="00A3745F" w:rsidRPr="00180DFE">
        <w:rPr>
          <w:rFonts w:asciiTheme="majorHAnsi" w:hAnsiTheme="majorHAnsi"/>
          <w:color w:val="231F20"/>
          <w:sz w:val="20"/>
          <w:szCs w:val="20"/>
          <w:vertAlign w:val="superscript"/>
        </w:rPr>
        <w:t>1</w:t>
      </w:r>
      <w:r w:rsidR="009709D4" w:rsidRPr="00180DFE">
        <w:rPr>
          <w:rFonts w:asciiTheme="majorHAnsi" w:hAnsiTheme="majorHAnsi"/>
          <w:color w:val="231F20"/>
          <w:sz w:val="20"/>
          <w:szCs w:val="20"/>
        </w:rPr>
        <w:t xml:space="preserve">, </w:t>
      </w:r>
      <w:r w:rsidR="00B01A46">
        <w:rPr>
          <w:rFonts w:asciiTheme="majorHAnsi" w:hAnsiTheme="majorHAnsi"/>
          <w:color w:val="231F20"/>
          <w:sz w:val="20"/>
          <w:szCs w:val="20"/>
        </w:rPr>
        <w:t>C</w:t>
      </w:r>
      <w:r w:rsidR="001A0CAE">
        <w:rPr>
          <w:rFonts w:asciiTheme="majorHAnsi" w:hAnsiTheme="majorHAnsi"/>
          <w:color w:val="231F20"/>
          <w:sz w:val="20"/>
          <w:szCs w:val="20"/>
        </w:rPr>
        <w:t>y</w:t>
      </w:r>
      <w:r w:rsidR="00B01A46">
        <w:rPr>
          <w:rFonts w:asciiTheme="majorHAnsi" w:hAnsiTheme="majorHAnsi"/>
          <w:color w:val="231F20"/>
          <w:sz w:val="20"/>
          <w:szCs w:val="20"/>
        </w:rPr>
        <w:t xml:space="preserve"> Frank</w:t>
      </w:r>
      <w:r w:rsidR="00A3745F" w:rsidRPr="00180DFE">
        <w:rPr>
          <w:rFonts w:asciiTheme="majorHAnsi" w:hAnsiTheme="majorHAnsi"/>
          <w:color w:val="231F20"/>
          <w:sz w:val="20"/>
          <w:szCs w:val="20"/>
          <w:vertAlign w:val="superscript"/>
        </w:rPr>
        <w:t>2</w:t>
      </w:r>
      <w:r w:rsidR="00A3745F" w:rsidRPr="00180DFE">
        <w:rPr>
          <w:rFonts w:asciiTheme="majorHAnsi" w:hAnsiTheme="majorHAnsi"/>
          <w:color w:val="231F20"/>
          <w:sz w:val="20"/>
          <w:szCs w:val="20"/>
        </w:rPr>
        <w:t xml:space="preserve">, </w:t>
      </w:r>
      <w:r w:rsidR="00FB5D24" w:rsidRPr="00180DFE">
        <w:rPr>
          <w:rFonts w:asciiTheme="majorHAnsi" w:hAnsiTheme="majorHAnsi"/>
          <w:color w:val="231F20"/>
          <w:sz w:val="20"/>
          <w:szCs w:val="20"/>
        </w:rPr>
        <w:t>Martin Ferguson-Pell</w:t>
      </w:r>
      <w:r w:rsidR="00A3745F" w:rsidRPr="00180DFE">
        <w:rPr>
          <w:rFonts w:asciiTheme="majorHAnsi" w:hAnsiTheme="majorHAnsi"/>
          <w:color w:val="231F20"/>
          <w:sz w:val="20"/>
          <w:szCs w:val="20"/>
          <w:vertAlign w:val="superscript"/>
        </w:rPr>
        <w:t>1</w:t>
      </w:r>
      <w:r w:rsidR="00FB5D24" w:rsidRPr="00180DFE">
        <w:rPr>
          <w:rFonts w:asciiTheme="majorHAnsi" w:hAnsiTheme="majorHAnsi"/>
          <w:color w:val="231F20"/>
          <w:sz w:val="20"/>
          <w:szCs w:val="20"/>
        </w:rPr>
        <w:t>,</w:t>
      </w:r>
      <w:r w:rsidR="009709D4" w:rsidRPr="00180DFE">
        <w:rPr>
          <w:rFonts w:asciiTheme="majorHAnsi" w:hAnsiTheme="majorHAnsi"/>
          <w:color w:val="231F20"/>
          <w:sz w:val="20"/>
          <w:szCs w:val="20"/>
        </w:rPr>
        <w:t xml:space="preserve"> </w:t>
      </w:r>
      <w:r w:rsidR="00FE4588">
        <w:rPr>
          <w:rFonts w:asciiTheme="majorHAnsi" w:hAnsiTheme="majorHAnsi"/>
          <w:color w:val="231F20"/>
          <w:sz w:val="20"/>
          <w:szCs w:val="20"/>
        </w:rPr>
        <w:t>Peter Smitham</w:t>
      </w:r>
      <w:r w:rsidR="001B66E3" w:rsidRPr="001B66E3">
        <w:rPr>
          <w:rFonts w:asciiTheme="majorHAnsi" w:hAnsiTheme="majorHAnsi"/>
          <w:color w:val="231F20"/>
          <w:sz w:val="20"/>
          <w:szCs w:val="20"/>
          <w:vertAlign w:val="superscript"/>
        </w:rPr>
        <w:t>3</w:t>
      </w:r>
      <w:r w:rsidR="00FE4588">
        <w:rPr>
          <w:rFonts w:asciiTheme="majorHAnsi" w:hAnsiTheme="majorHAnsi"/>
          <w:color w:val="231F20"/>
          <w:sz w:val="20"/>
          <w:szCs w:val="20"/>
        </w:rPr>
        <w:t>, Catherine Holloway</w:t>
      </w:r>
      <w:r w:rsidR="001B66E3" w:rsidRPr="001B66E3">
        <w:rPr>
          <w:rFonts w:asciiTheme="majorHAnsi" w:hAnsiTheme="majorHAnsi"/>
          <w:color w:val="231F20"/>
          <w:sz w:val="20"/>
          <w:szCs w:val="20"/>
          <w:vertAlign w:val="superscript"/>
        </w:rPr>
        <w:t>4</w:t>
      </w:r>
      <w:r w:rsidR="00FE4588">
        <w:rPr>
          <w:rFonts w:asciiTheme="majorHAnsi" w:hAnsiTheme="majorHAnsi"/>
          <w:color w:val="231F20"/>
          <w:sz w:val="20"/>
          <w:szCs w:val="20"/>
        </w:rPr>
        <w:t xml:space="preserve">, </w:t>
      </w:r>
      <w:r w:rsidR="00EB399A">
        <w:rPr>
          <w:rFonts w:asciiTheme="majorHAnsi" w:hAnsiTheme="majorHAnsi"/>
          <w:color w:val="231F20"/>
          <w:sz w:val="20"/>
          <w:szCs w:val="20"/>
        </w:rPr>
        <w:t>Stephen Taylor</w:t>
      </w:r>
      <w:r w:rsidR="00EB399A" w:rsidRPr="001B66E3">
        <w:rPr>
          <w:rFonts w:asciiTheme="majorHAnsi" w:hAnsiTheme="majorHAnsi"/>
          <w:color w:val="231F20"/>
          <w:sz w:val="20"/>
          <w:szCs w:val="20"/>
          <w:vertAlign w:val="superscript"/>
        </w:rPr>
        <w:t>4</w:t>
      </w:r>
      <w:r w:rsidR="00EB399A">
        <w:rPr>
          <w:rFonts w:asciiTheme="majorHAnsi" w:hAnsiTheme="majorHAnsi"/>
          <w:color w:val="231F20"/>
          <w:sz w:val="20"/>
          <w:szCs w:val="20"/>
        </w:rPr>
        <w:t xml:space="preserve">, </w:t>
      </w:r>
      <w:r>
        <w:rPr>
          <w:rFonts w:asciiTheme="majorHAnsi" w:hAnsiTheme="majorHAnsi"/>
          <w:color w:val="231F20"/>
          <w:sz w:val="20"/>
          <w:szCs w:val="20"/>
        </w:rPr>
        <w:t>Gary Wills</w:t>
      </w:r>
      <w:r w:rsidRPr="001B66E3">
        <w:rPr>
          <w:rFonts w:asciiTheme="majorHAnsi" w:hAnsiTheme="majorHAnsi"/>
          <w:color w:val="231F20"/>
          <w:sz w:val="20"/>
          <w:szCs w:val="20"/>
          <w:vertAlign w:val="superscript"/>
        </w:rPr>
        <w:t>5</w:t>
      </w:r>
      <w:r>
        <w:rPr>
          <w:rFonts w:asciiTheme="majorHAnsi" w:hAnsiTheme="majorHAnsi"/>
          <w:color w:val="231F20"/>
          <w:sz w:val="20"/>
          <w:szCs w:val="20"/>
        </w:rPr>
        <w:t xml:space="preserve">, </w:t>
      </w:r>
      <w:r w:rsidR="00437C23">
        <w:rPr>
          <w:rFonts w:asciiTheme="majorHAnsi" w:hAnsiTheme="majorHAnsi"/>
          <w:color w:val="231F20"/>
          <w:sz w:val="20"/>
          <w:szCs w:val="20"/>
        </w:rPr>
        <w:t>Nick Tyler</w:t>
      </w:r>
      <w:r w:rsidR="00437C23" w:rsidRPr="001B66E3">
        <w:rPr>
          <w:rFonts w:asciiTheme="majorHAnsi" w:hAnsiTheme="majorHAnsi"/>
          <w:color w:val="231F20"/>
          <w:sz w:val="20"/>
          <w:szCs w:val="20"/>
          <w:vertAlign w:val="superscript"/>
        </w:rPr>
        <w:t>4</w:t>
      </w:r>
    </w:p>
    <w:p w:rsidR="001B66E3" w:rsidRPr="00180DFE" w:rsidRDefault="001B66E3" w:rsidP="00ED3C60">
      <w:pPr>
        <w:ind w:firstLine="397"/>
        <w:jc w:val="center"/>
        <w:rPr>
          <w:rFonts w:asciiTheme="majorHAnsi" w:hAnsiTheme="majorHAnsi"/>
          <w:color w:val="231F20"/>
          <w:sz w:val="20"/>
          <w:szCs w:val="20"/>
        </w:rPr>
      </w:pPr>
    </w:p>
    <w:p w:rsidR="001B66E3" w:rsidRPr="00D32B60" w:rsidRDefault="00D32B60" w:rsidP="00D32B60">
      <w:pPr>
        <w:ind w:left="1117"/>
        <w:jc w:val="center"/>
        <w:rPr>
          <w:rFonts w:asciiTheme="majorHAnsi" w:hAnsiTheme="majorHAnsi"/>
          <w:color w:val="231F20"/>
          <w:sz w:val="18"/>
          <w:szCs w:val="20"/>
        </w:rPr>
      </w:pPr>
      <w:bookmarkStart w:id="0" w:name="_GoBack"/>
      <w:bookmarkEnd w:id="0"/>
      <w:r w:rsidRPr="00D32B60">
        <w:rPr>
          <w:rFonts w:asciiTheme="majorHAnsi" w:hAnsiTheme="majorHAnsi"/>
          <w:color w:val="231F20"/>
          <w:sz w:val="18"/>
          <w:szCs w:val="20"/>
          <w:vertAlign w:val="superscript"/>
        </w:rPr>
        <w:t>1</w:t>
      </w:r>
      <w:r w:rsidR="009709D4" w:rsidRPr="00D32B60">
        <w:rPr>
          <w:rFonts w:asciiTheme="majorHAnsi" w:hAnsiTheme="majorHAnsi"/>
          <w:color w:val="231F20"/>
          <w:sz w:val="18"/>
          <w:szCs w:val="20"/>
        </w:rPr>
        <w:t xml:space="preserve">Faculty of Rehabilitation Medicine, </w:t>
      </w:r>
      <w:r w:rsidR="001B66E3" w:rsidRPr="00D32B60">
        <w:rPr>
          <w:rFonts w:asciiTheme="majorHAnsi" w:hAnsiTheme="majorHAnsi"/>
          <w:color w:val="231F20"/>
          <w:sz w:val="18"/>
          <w:szCs w:val="20"/>
        </w:rPr>
        <w:t>University of Alberta, Edmonton, Alberta, Canada, T6G 2G4</w:t>
      </w:r>
    </w:p>
    <w:p w:rsidR="00A3745F" w:rsidRPr="00D32B60" w:rsidRDefault="00D32B60" w:rsidP="00D32B60">
      <w:pPr>
        <w:ind w:left="1117"/>
        <w:jc w:val="center"/>
        <w:rPr>
          <w:rFonts w:asciiTheme="majorHAnsi" w:hAnsiTheme="majorHAnsi"/>
          <w:color w:val="231F20"/>
          <w:sz w:val="18"/>
          <w:szCs w:val="20"/>
        </w:rPr>
      </w:pPr>
      <w:r w:rsidRPr="00D32B60">
        <w:rPr>
          <w:rFonts w:asciiTheme="majorHAnsi" w:hAnsiTheme="majorHAnsi"/>
          <w:color w:val="231F20"/>
          <w:sz w:val="18"/>
          <w:szCs w:val="20"/>
          <w:vertAlign w:val="superscript"/>
        </w:rPr>
        <w:t>2</w:t>
      </w:r>
      <w:r w:rsidR="00A3745F" w:rsidRPr="00D32B60">
        <w:rPr>
          <w:rFonts w:asciiTheme="majorHAnsi" w:hAnsiTheme="majorHAnsi"/>
          <w:color w:val="231F20"/>
          <w:sz w:val="18"/>
          <w:szCs w:val="20"/>
        </w:rPr>
        <w:t xml:space="preserve">Alberta </w:t>
      </w:r>
      <w:r w:rsidR="00B01A46" w:rsidRPr="00D32B60">
        <w:rPr>
          <w:rFonts w:asciiTheme="majorHAnsi" w:hAnsiTheme="majorHAnsi"/>
          <w:color w:val="231F20"/>
          <w:sz w:val="18"/>
          <w:szCs w:val="20"/>
        </w:rPr>
        <w:t>Bone and Joint Health Institute</w:t>
      </w:r>
      <w:r w:rsidR="001B66E3" w:rsidRPr="00D32B60">
        <w:rPr>
          <w:rFonts w:asciiTheme="majorHAnsi" w:hAnsiTheme="majorHAnsi"/>
          <w:color w:val="231F20"/>
          <w:sz w:val="18"/>
          <w:szCs w:val="20"/>
        </w:rPr>
        <w:t>, Calgary, Alberta, Canada</w:t>
      </w:r>
    </w:p>
    <w:p w:rsidR="001B66E3" w:rsidRPr="00D32B60" w:rsidRDefault="00D32B60" w:rsidP="00D32B60">
      <w:pPr>
        <w:ind w:left="1117"/>
        <w:jc w:val="center"/>
        <w:rPr>
          <w:rFonts w:asciiTheme="majorHAnsi" w:hAnsiTheme="majorHAnsi"/>
          <w:color w:val="231F20"/>
          <w:sz w:val="18"/>
          <w:szCs w:val="20"/>
        </w:rPr>
      </w:pPr>
      <w:r w:rsidRPr="00D32B60">
        <w:rPr>
          <w:rFonts w:asciiTheme="majorHAnsi" w:hAnsiTheme="majorHAnsi"/>
          <w:color w:val="231F20"/>
          <w:sz w:val="18"/>
          <w:szCs w:val="20"/>
          <w:vertAlign w:val="superscript"/>
        </w:rPr>
        <w:t>3</w:t>
      </w:r>
      <w:r w:rsidR="001B66E3" w:rsidRPr="00D32B60">
        <w:rPr>
          <w:rFonts w:asciiTheme="majorHAnsi" w:hAnsiTheme="majorHAnsi"/>
          <w:color w:val="231F20"/>
          <w:sz w:val="18"/>
          <w:szCs w:val="20"/>
        </w:rPr>
        <w:t>Institute of Orthopaedics and Musculoskeletal Science, UCL, UK</w:t>
      </w:r>
    </w:p>
    <w:p w:rsidR="001B66E3" w:rsidRPr="00D32B60" w:rsidRDefault="00D32B60" w:rsidP="00D32B60">
      <w:pPr>
        <w:ind w:left="1117"/>
        <w:jc w:val="center"/>
        <w:rPr>
          <w:rFonts w:asciiTheme="majorHAnsi" w:hAnsiTheme="majorHAnsi"/>
          <w:color w:val="231F20"/>
          <w:sz w:val="18"/>
          <w:szCs w:val="20"/>
        </w:rPr>
      </w:pPr>
      <w:r w:rsidRPr="00D32B60">
        <w:rPr>
          <w:rFonts w:asciiTheme="majorHAnsi" w:hAnsiTheme="majorHAnsi"/>
          <w:color w:val="231F20"/>
          <w:sz w:val="18"/>
          <w:szCs w:val="20"/>
          <w:vertAlign w:val="superscript"/>
        </w:rPr>
        <w:t>4</w:t>
      </w:r>
      <w:r w:rsidR="001B66E3" w:rsidRPr="00D32B60">
        <w:rPr>
          <w:rFonts w:asciiTheme="majorHAnsi" w:hAnsiTheme="majorHAnsi"/>
          <w:color w:val="231F20"/>
          <w:sz w:val="18"/>
          <w:szCs w:val="20"/>
        </w:rPr>
        <w:t xml:space="preserve">Civil Environmental, Geomatic </w:t>
      </w:r>
      <w:r w:rsidR="00E049B6" w:rsidRPr="00D32B60">
        <w:rPr>
          <w:rFonts w:asciiTheme="majorHAnsi" w:hAnsiTheme="majorHAnsi"/>
          <w:color w:val="231F20"/>
          <w:sz w:val="18"/>
          <w:szCs w:val="20"/>
        </w:rPr>
        <w:t>Engineering</w:t>
      </w:r>
      <w:r w:rsidR="001B66E3" w:rsidRPr="00D32B60">
        <w:rPr>
          <w:rFonts w:asciiTheme="majorHAnsi" w:hAnsiTheme="majorHAnsi"/>
          <w:color w:val="231F20"/>
          <w:sz w:val="18"/>
          <w:szCs w:val="20"/>
        </w:rPr>
        <w:t>, UCL, UK</w:t>
      </w:r>
    </w:p>
    <w:p w:rsidR="001B66E3" w:rsidRPr="00D32B60" w:rsidRDefault="00D32B60" w:rsidP="00D32B60">
      <w:pPr>
        <w:ind w:left="1117"/>
        <w:jc w:val="center"/>
        <w:rPr>
          <w:rFonts w:asciiTheme="majorHAnsi" w:hAnsiTheme="majorHAnsi"/>
          <w:color w:val="231F20"/>
          <w:sz w:val="18"/>
          <w:szCs w:val="20"/>
        </w:rPr>
      </w:pPr>
      <w:r w:rsidRPr="00D32B60">
        <w:rPr>
          <w:rFonts w:asciiTheme="majorHAnsi" w:hAnsiTheme="majorHAnsi"/>
          <w:color w:val="231F20"/>
          <w:sz w:val="18"/>
          <w:szCs w:val="20"/>
          <w:vertAlign w:val="superscript"/>
        </w:rPr>
        <w:t>5</w:t>
      </w:r>
      <w:r w:rsidR="001B66E3" w:rsidRPr="00D32B60">
        <w:rPr>
          <w:rFonts w:asciiTheme="majorHAnsi" w:hAnsiTheme="majorHAnsi"/>
          <w:color w:val="231F20"/>
          <w:sz w:val="18"/>
          <w:szCs w:val="20"/>
        </w:rPr>
        <w:t>Electronics &amp; Computer Science, University of Southampton, UK</w:t>
      </w:r>
    </w:p>
    <w:p w:rsidR="00CD402B" w:rsidRPr="00206859" w:rsidRDefault="00CD402B" w:rsidP="00B37A21">
      <w:pPr>
        <w:jc w:val="both"/>
        <w:rPr>
          <w:rFonts w:asciiTheme="majorHAnsi" w:hAnsiTheme="majorHAnsi"/>
          <w:b/>
        </w:rPr>
      </w:pPr>
      <w:r w:rsidRPr="00206859">
        <w:rPr>
          <w:rFonts w:asciiTheme="majorHAnsi" w:hAnsiTheme="majorHAnsi"/>
          <w:b/>
        </w:rPr>
        <w:t>Abstract</w:t>
      </w:r>
    </w:p>
    <w:p w:rsidR="00113764" w:rsidRPr="00EC116D" w:rsidRDefault="00EC116D" w:rsidP="00ED3C60">
      <w:pPr>
        <w:ind w:firstLine="397"/>
        <w:jc w:val="both"/>
        <w:rPr>
          <w:rFonts w:asciiTheme="majorHAnsi" w:eastAsiaTheme="minorEastAsia" w:hAnsiTheme="majorHAnsi" w:cs="Arial"/>
          <w:i/>
          <w:sz w:val="20"/>
          <w:szCs w:val="20"/>
          <w:lang w:val="en-GB"/>
        </w:rPr>
      </w:pPr>
      <w:r w:rsidRPr="00EC116D">
        <w:rPr>
          <w:rFonts w:cstheme="minorHAnsi"/>
          <w:i/>
          <w:sz w:val="20"/>
          <w:szCs w:val="20"/>
          <w:lang w:val="en-GB"/>
        </w:rPr>
        <w:t xml:space="preserve">The development of a translational research path has traditionally been a haphazard approach, filtering technologies so that the ‘best of breed’ may ultimately succeed. The conversion ratio of brilliant ideas to useful devices remains suboptimal, as many ‘fail to progress’. The reality of developing biotechnology transfer and Knowledge Transfer (KT) generally, is that the ability of multidisciplinary teams (MDT) to assimilate and then act upon information is becoming the rate limiting step for the building of complex projects. The model proposed here considers both the biological aspects of </w:t>
      </w:r>
      <w:r w:rsidR="00CA5D24">
        <w:rPr>
          <w:rFonts w:cstheme="minorHAnsi"/>
          <w:i/>
          <w:sz w:val="20"/>
          <w:szCs w:val="20"/>
          <w:lang w:val="en-GB"/>
        </w:rPr>
        <w:t>Life S</w:t>
      </w:r>
      <w:r w:rsidRPr="00EC116D">
        <w:rPr>
          <w:rFonts w:cstheme="minorHAnsi"/>
          <w:i/>
          <w:sz w:val="20"/>
          <w:szCs w:val="20"/>
          <w:lang w:val="en-GB"/>
        </w:rPr>
        <w:t>ciences</w:t>
      </w:r>
      <w:r w:rsidR="00CA5D24">
        <w:rPr>
          <w:rFonts w:cstheme="minorHAnsi"/>
          <w:i/>
          <w:sz w:val="20"/>
          <w:szCs w:val="20"/>
          <w:lang w:val="en-GB"/>
        </w:rPr>
        <w:t xml:space="preserve"> (LS) and the establishment of T</w:t>
      </w:r>
      <w:r w:rsidRPr="00EC116D">
        <w:rPr>
          <w:rFonts w:cstheme="minorHAnsi"/>
          <w:i/>
          <w:sz w:val="20"/>
          <w:szCs w:val="20"/>
          <w:lang w:val="en-GB"/>
        </w:rPr>
        <w:t xml:space="preserve">echnology </w:t>
      </w:r>
      <w:r w:rsidR="00CA5D24">
        <w:rPr>
          <w:rFonts w:cstheme="minorHAnsi"/>
          <w:i/>
          <w:sz w:val="20"/>
          <w:szCs w:val="20"/>
          <w:lang w:val="en-GB"/>
        </w:rPr>
        <w:t>R</w:t>
      </w:r>
      <w:r w:rsidRPr="00EC116D">
        <w:rPr>
          <w:rFonts w:cstheme="minorHAnsi"/>
          <w:i/>
          <w:sz w:val="20"/>
          <w:szCs w:val="20"/>
          <w:lang w:val="en-GB"/>
        </w:rPr>
        <w:t>eadiness for its implementation</w:t>
      </w:r>
      <w:r w:rsidR="00113764" w:rsidRPr="00EC116D">
        <w:rPr>
          <w:rFonts w:asciiTheme="majorHAnsi" w:eastAsiaTheme="minorEastAsia" w:hAnsiTheme="majorHAnsi" w:cs="Arial"/>
          <w:i/>
          <w:sz w:val="20"/>
          <w:szCs w:val="20"/>
          <w:lang w:val="en-GB"/>
        </w:rPr>
        <w:t>.</w:t>
      </w:r>
    </w:p>
    <w:p w:rsidR="00113764" w:rsidRPr="00113764" w:rsidRDefault="001A0CAE" w:rsidP="00ED3C60">
      <w:pPr>
        <w:ind w:firstLine="397"/>
        <w:jc w:val="both"/>
        <w:rPr>
          <w:rFonts w:asciiTheme="majorHAnsi" w:eastAsiaTheme="minorEastAsia" w:hAnsiTheme="majorHAnsi" w:cs="Arial"/>
          <w:i/>
          <w:sz w:val="20"/>
          <w:szCs w:val="20"/>
          <w:lang w:val="en-GB"/>
        </w:rPr>
      </w:pPr>
      <w:r>
        <w:rPr>
          <w:rFonts w:asciiTheme="majorHAnsi" w:eastAsiaTheme="minorEastAsia" w:hAnsiTheme="majorHAnsi" w:cs="Arial"/>
          <w:i/>
          <w:sz w:val="20"/>
          <w:szCs w:val="20"/>
          <w:lang w:val="en-GB"/>
        </w:rPr>
        <w:t>By</w:t>
      </w:r>
      <w:r w:rsidR="00113764" w:rsidRPr="00113764">
        <w:rPr>
          <w:rFonts w:asciiTheme="majorHAnsi" w:eastAsiaTheme="minorEastAsia" w:hAnsiTheme="majorHAnsi" w:cs="Arial"/>
          <w:i/>
          <w:sz w:val="20"/>
          <w:szCs w:val="20"/>
          <w:lang w:val="en-GB"/>
        </w:rPr>
        <w:t xml:space="preserve"> </w:t>
      </w:r>
      <w:r w:rsidR="00EB399A">
        <w:rPr>
          <w:rFonts w:asciiTheme="majorHAnsi" w:eastAsiaTheme="minorEastAsia" w:hAnsiTheme="majorHAnsi" w:cs="Arial"/>
          <w:i/>
          <w:sz w:val="20"/>
          <w:szCs w:val="20"/>
          <w:lang w:val="en-GB"/>
        </w:rPr>
        <w:t>offer</w:t>
      </w:r>
      <w:r>
        <w:rPr>
          <w:rFonts w:asciiTheme="majorHAnsi" w:eastAsiaTheme="minorEastAsia" w:hAnsiTheme="majorHAnsi" w:cs="Arial"/>
          <w:i/>
          <w:sz w:val="20"/>
          <w:szCs w:val="20"/>
          <w:lang w:val="en-GB"/>
        </w:rPr>
        <w:t>ing</w:t>
      </w:r>
      <w:r w:rsidR="00113764" w:rsidRPr="00113764">
        <w:rPr>
          <w:rFonts w:asciiTheme="majorHAnsi" w:eastAsiaTheme="minorEastAsia" w:hAnsiTheme="majorHAnsi" w:cs="Arial"/>
          <w:i/>
          <w:sz w:val="20"/>
          <w:szCs w:val="20"/>
          <w:lang w:val="en-GB"/>
        </w:rPr>
        <w:t xml:space="preserve"> </w:t>
      </w:r>
      <w:r w:rsidRPr="00113764">
        <w:rPr>
          <w:rFonts w:asciiTheme="majorHAnsi" w:eastAsiaTheme="minorEastAsia" w:hAnsiTheme="majorHAnsi" w:cs="Arial"/>
          <w:i/>
          <w:sz w:val="20"/>
          <w:szCs w:val="20"/>
          <w:lang w:val="en-GB"/>
        </w:rPr>
        <w:t xml:space="preserve">a sustainable </w:t>
      </w:r>
      <w:r w:rsidR="00113764" w:rsidRPr="00113764">
        <w:rPr>
          <w:rFonts w:asciiTheme="majorHAnsi" w:eastAsiaTheme="minorEastAsia" w:hAnsiTheme="majorHAnsi" w:cs="Arial"/>
          <w:i/>
          <w:sz w:val="20"/>
          <w:szCs w:val="20"/>
          <w:lang w:val="en-GB"/>
        </w:rPr>
        <w:t xml:space="preserve">generic structure for the assimilation and transfer of technologies, at a rate supported by the individual teams, the </w:t>
      </w:r>
      <w:r w:rsidR="00E049B6" w:rsidRPr="00113764">
        <w:rPr>
          <w:rFonts w:asciiTheme="majorHAnsi" w:eastAsiaTheme="minorEastAsia" w:hAnsiTheme="majorHAnsi" w:cs="Arial"/>
          <w:i/>
          <w:sz w:val="20"/>
          <w:szCs w:val="20"/>
          <w:lang w:val="en-GB"/>
        </w:rPr>
        <w:t>potential</w:t>
      </w:r>
      <w:r>
        <w:rPr>
          <w:rFonts w:asciiTheme="majorHAnsi" w:eastAsiaTheme="minorEastAsia" w:hAnsiTheme="majorHAnsi" w:cs="Arial"/>
          <w:i/>
          <w:sz w:val="20"/>
          <w:szCs w:val="20"/>
          <w:lang w:val="en-GB"/>
        </w:rPr>
        <w:t xml:space="preserve"> is</w:t>
      </w:r>
      <w:r w:rsidR="00113764" w:rsidRPr="00113764">
        <w:rPr>
          <w:rFonts w:asciiTheme="majorHAnsi" w:eastAsiaTheme="minorEastAsia" w:hAnsiTheme="majorHAnsi" w:cs="Arial"/>
          <w:i/>
          <w:sz w:val="20"/>
          <w:szCs w:val="20"/>
          <w:lang w:val="en-GB"/>
        </w:rPr>
        <w:t xml:space="preserve"> for a standalone system able to accommodate clinical research and governance </w:t>
      </w:r>
      <w:r w:rsidR="00A21DFD">
        <w:rPr>
          <w:rFonts w:asciiTheme="majorHAnsi" w:eastAsiaTheme="minorEastAsia" w:hAnsiTheme="majorHAnsi" w:cs="Arial"/>
          <w:i/>
          <w:sz w:val="20"/>
          <w:szCs w:val="20"/>
          <w:lang w:val="en-GB"/>
        </w:rPr>
        <w:t>n</w:t>
      </w:r>
      <w:r w:rsidR="00113764" w:rsidRPr="00113764">
        <w:rPr>
          <w:rFonts w:asciiTheme="majorHAnsi" w:eastAsiaTheme="minorEastAsia" w:hAnsiTheme="majorHAnsi" w:cs="Arial"/>
          <w:i/>
          <w:sz w:val="20"/>
          <w:szCs w:val="20"/>
          <w:lang w:val="en-GB"/>
        </w:rPr>
        <w:t>ee</w:t>
      </w:r>
      <w:r w:rsidR="00A21DFD">
        <w:rPr>
          <w:rFonts w:asciiTheme="majorHAnsi" w:eastAsiaTheme="minorEastAsia" w:hAnsiTheme="majorHAnsi" w:cs="Arial"/>
          <w:i/>
          <w:sz w:val="20"/>
          <w:szCs w:val="20"/>
          <w:lang w:val="en-GB"/>
        </w:rPr>
        <w:t>d</w:t>
      </w:r>
      <w:r w:rsidR="00113764" w:rsidRPr="00113764">
        <w:rPr>
          <w:rFonts w:asciiTheme="majorHAnsi" w:eastAsiaTheme="minorEastAsia" w:hAnsiTheme="majorHAnsi" w:cs="Arial"/>
          <w:i/>
          <w:sz w:val="20"/>
          <w:szCs w:val="20"/>
          <w:lang w:val="en-GB"/>
        </w:rPr>
        <w:t>s.</w:t>
      </w:r>
      <w:r w:rsidR="00113764">
        <w:rPr>
          <w:rFonts w:asciiTheme="majorHAnsi" w:eastAsiaTheme="minorEastAsia" w:hAnsiTheme="majorHAnsi" w:cs="Arial"/>
          <w:i/>
          <w:sz w:val="20"/>
          <w:szCs w:val="20"/>
          <w:lang w:val="en-GB"/>
        </w:rPr>
        <w:t xml:space="preserve"> </w:t>
      </w:r>
      <w:r w:rsidR="00113764" w:rsidRPr="00113764">
        <w:rPr>
          <w:rFonts w:asciiTheme="majorHAnsi" w:eastAsiaTheme="minorEastAsia" w:hAnsiTheme="majorHAnsi" w:cs="Arial"/>
          <w:i/>
          <w:sz w:val="20"/>
          <w:szCs w:val="20"/>
          <w:lang w:val="en-GB"/>
        </w:rPr>
        <w:t>The construction of a "signature"</w:t>
      </w:r>
      <w:r w:rsidR="00CA5D24">
        <w:rPr>
          <w:rFonts w:asciiTheme="majorHAnsi" w:eastAsiaTheme="minorEastAsia" w:hAnsiTheme="majorHAnsi" w:cs="Arial"/>
          <w:i/>
          <w:sz w:val="20"/>
          <w:szCs w:val="20"/>
          <w:lang w:val="en-GB"/>
        </w:rPr>
        <w:t>,</w:t>
      </w:r>
      <w:r w:rsidR="00113764" w:rsidRPr="00113764">
        <w:rPr>
          <w:rFonts w:asciiTheme="majorHAnsi" w:eastAsiaTheme="minorEastAsia" w:hAnsiTheme="majorHAnsi" w:cs="Arial"/>
          <w:i/>
          <w:sz w:val="20"/>
          <w:szCs w:val="20"/>
          <w:lang w:val="en-GB"/>
        </w:rPr>
        <w:t xml:space="preserve"> which reflects the current state of development, and through the rate progress </w:t>
      </w:r>
      <w:r w:rsidRPr="00113764">
        <w:rPr>
          <w:rFonts w:asciiTheme="majorHAnsi" w:eastAsiaTheme="minorEastAsia" w:hAnsiTheme="majorHAnsi" w:cs="Arial"/>
          <w:i/>
          <w:sz w:val="20"/>
          <w:szCs w:val="20"/>
          <w:lang w:val="en-GB"/>
        </w:rPr>
        <w:t>of trans</w:t>
      </w:r>
      <w:r>
        <w:rPr>
          <w:rFonts w:asciiTheme="majorHAnsi" w:eastAsiaTheme="minorEastAsia" w:hAnsiTheme="majorHAnsi" w:cs="Arial"/>
          <w:i/>
          <w:sz w:val="20"/>
          <w:szCs w:val="20"/>
          <w:lang w:val="en-GB"/>
        </w:rPr>
        <w:t>lat</w:t>
      </w:r>
      <w:r w:rsidRPr="00113764">
        <w:rPr>
          <w:rFonts w:asciiTheme="majorHAnsi" w:eastAsiaTheme="minorEastAsia" w:hAnsiTheme="majorHAnsi" w:cs="Arial"/>
          <w:i/>
          <w:sz w:val="20"/>
          <w:szCs w:val="20"/>
          <w:lang w:val="en-GB"/>
        </w:rPr>
        <w:t xml:space="preserve">ion, </w:t>
      </w:r>
      <w:r w:rsidR="00113764" w:rsidRPr="00113764">
        <w:rPr>
          <w:rFonts w:asciiTheme="majorHAnsi" w:eastAsiaTheme="minorEastAsia" w:hAnsiTheme="majorHAnsi" w:cs="Arial"/>
          <w:i/>
          <w:sz w:val="20"/>
          <w:szCs w:val="20"/>
          <w:lang w:val="en-GB"/>
        </w:rPr>
        <w:t>and deve</w:t>
      </w:r>
      <w:r w:rsidR="002D5B2D">
        <w:rPr>
          <w:rFonts w:asciiTheme="majorHAnsi" w:eastAsiaTheme="minorEastAsia" w:hAnsiTheme="majorHAnsi" w:cs="Arial"/>
          <w:i/>
          <w:sz w:val="20"/>
          <w:szCs w:val="20"/>
          <w:lang w:val="en-GB"/>
        </w:rPr>
        <w:t xml:space="preserve">lopment of these technologies, </w:t>
      </w:r>
      <w:r w:rsidR="00113764" w:rsidRPr="00113764">
        <w:rPr>
          <w:rFonts w:asciiTheme="majorHAnsi" w:eastAsiaTheme="minorEastAsia" w:hAnsiTheme="majorHAnsi" w:cs="Arial"/>
          <w:i/>
          <w:sz w:val="20"/>
          <w:szCs w:val="20"/>
          <w:lang w:val="en-GB"/>
        </w:rPr>
        <w:t>potentially allows us to draw comparisons across different multidisciplinary environments</w:t>
      </w:r>
      <w:r>
        <w:rPr>
          <w:rFonts w:asciiTheme="majorHAnsi" w:eastAsiaTheme="minorEastAsia" w:hAnsiTheme="majorHAnsi" w:cs="Arial"/>
          <w:i/>
          <w:sz w:val="20"/>
          <w:szCs w:val="20"/>
          <w:lang w:val="en-GB"/>
        </w:rPr>
        <w:t>,</w:t>
      </w:r>
      <w:r w:rsidR="00113764" w:rsidRPr="00113764">
        <w:rPr>
          <w:rFonts w:asciiTheme="majorHAnsi" w:eastAsiaTheme="minorEastAsia" w:hAnsiTheme="majorHAnsi" w:cs="Arial"/>
          <w:i/>
          <w:sz w:val="20"/>
          <w:szCs w:val="20"/>
          <w:lang w:val="en-GB"/>
        </w:rPr>
        <w:t xml:space="preserve"> </w:t>
      </w:r>
      <w:r w:rsidR="00EB399A">
        <w:rPr>
          <w:rFonts w:asciiTheme="majorHAnsi" w:eastAsiaTheme="minorEastAsia" w:hAnsiTheme="majorHAnsi" w:cs="Arial"/>
          <w:i/>
          <w:sz w:val="20"/>
          <w:szCs w:val="20"/>
          <w:lang w:val="en-GB"/>
        </w:rPr>
        <w:t>so as</w:t>
      </w:r>
      <w:r w:rsidR="00113764" w:rsidRPr="00113764">
        <w:rPr>
          <w:rFonts w:asciiTheme="majorHAnsi" w:eastAsiaTheme="minorEastAsia" w:hAnsiTheme="majorHAnsi" w:cs="Arial"/>
          <w:i/>
          <w:sz w:val="20"/>
          <w:szCs w:val="20"/>
          <w:lang w:val="en-GB"/>
        </w:rPr>
        <w:t xml:space="preserve"> to ensure that adequate resource</w:t>
      </w:r>
      <w:r>
        <w:rPr>
          <w:rFonts w:asciiTheme="majorHAnsi" w:eastAsiaTheme="minorEastAsia" w:hAnsiTheme="majorHAnsi" w:cs="Arial"/>
          <w:i/>
          <w:sz w:val="20"/>
          <w:szCs w:val="20"/>
          <w:lang w:val="en-GB"/>
        </w:rPr>
        <w:t xml:space="preserve">s are allocated to </w:t>
      </w:r>
      <w:r w:rsidR="00A21DFD">
        <w:rPr>
          <w:rFonts w:asciiTheme="majorHAnsi" w:eastAsiaTheme="minorEastAsia" w:hAnsiTheme="majorHAnsi" w:cs="Arial"/>
          <w:i/>
          <w:sz w:val="20"/>
          <w:szCs w:val="20"/>
          <w:lang w:val="en-GB"/>
        </w:rPr>
        <w:t>as</w:t>
      </w:r>
      <w:r w:rsidR="00113764" w:rsidRPr="00113764">
        <w:rPr>
          <w:rFonts w:asciiTheme="majorHAnsi" w:eastAsiaTheme="minorEastAsia" w:hAnsiTheme="majorHAnsi" w:cs="Arial"/>
          <w:i/>
          <w:sz w:val="20"/>
          <w:szCs w:val="20"/>
          <w:lang w:val="en-GB"/>
        </w:rPr>
        <w:t>sure their interoperability</w:t>
      </w:r>
      <w:r w:rsidR="00EB399A">
        <w:rPr>
          <w:rFonts w:asciiTheme="majorHAnsi" w:eastAsiaTheme="minorEastAsia" w:hAnsiTheme="majorHAnsi" w:cs="Arial"/>
          <w:i/>
          <w:sz w:val="20"/>
          <w:szCs w:val="20"/>
          <w:lang w:val="en-GB"/>
        </w:rPr>
        <w:t xml:space="preserve"> within agreed timescales</w:t>
      </w:r>
      <w:r w:rsidR="00113764" w:rsidRPr="00113764">
        <w:rPr>
          <w:rFonts w:asciiTheme="majorHAnsi" w:eastAsiaTheme="minorEastAsia" w:hAnsiTheme="majorHAnsi" w:cs="Arial"/>
          <w:i/>
          <w:sz w:val="20"/>
          <w:szCs w:val="20"/>
          <w:lang w:val="en-GB"/>
        </w:rPr>
        <w:t>.</w:t>
      </w:r>
    </w:p>
    <w:p w:rsidR="00113764" w:rsidRPr="00113764" w:rsidRDefault="00113764" w:rsidP="00ED3C60">
      <w:pPr>
        <w:ind w:firstLine="397"/>
        <w:jc w:val="both"/>
        <w:rPr>
          <w:rFonts w:asciiTheme="majorHAnsi" w:eastAsiaTheme="minorEastAsia" w:hAnsiTheme="majorHAnsi" w:cs="Arial"/>
          <w:i/>
          <w:sz w:val="20"/>
          <w:szCs w:val="20"/>
          <w:lang w:val="en-GB"/>
        </w:rPr>
      </w:pPr>
      <w:r w:rsidRPr="00113764">
        <w:rPr>
          <w:rFonts w:asciiTheme="majorHAnsi" w:eastAsiaTheme="minorEastAsia" w:hAnsiTheme="majorHAnsi" w:cs="Arial"/>
          <w:i/>
          <w:sz w:val="20"/>
          <w:szCs w:val="20"/>
          <w:lang w:val="en-GB"/>
        </w:rPr>
        <w:t xml:space="preserve">A case example </w:t>
      </w:r>
      <w:r w:rsidR="001A0CAE">
        <w:rPr>
          <w:rFonts w:asciiTheme="majorHAnsi" w:eastAsiaTheme="minorEastAsia" w:hAnsiTheme="majorHAnsi" w:cs="Arial"/>
          <w:i/>
          <w:sz w:val="20"/>
          <w:szCs w:val="20"/>
          <w:lang w:val="en-GB"/>
        </w:rPr>
        <w:t xml:space="preserve">applying </w:t>
      </w:r>
      <w:r w:rsidRPr="00113764">
        <w:rPr>
          <w:rFonts w:asciiTheme="majorHAnsi" w:eastAsiaTheme="minorEastAsia" w:hAnsiTheme="majorHAnsi" w:cs="Arial"/>
          <w:i/>
          <w:sz w:val="20"/>
          <w:szCs w:val="20"/>
          <w:lang w:val="en-GB"/>
        </w:rPr>
        <w:t xml:space="preserve">this process to </w:t>
      </w:r>
      <w:r w:rsidR="00EB399A">
        <w:rPr>
          <w:rFonts w:asciiTheme="majorHAnsi" w:eastAsiaTheme="minorEastAsia" w:hAnsiTheme="majorHAnsi" w:cs="Arial"/>
          <w:i/>
          <w:sz w:val="20"/>
          <w:szCs w:val="20"/>
          <w:lang w:val="en-GB"/>
        </w:rPr>
        <w:t>the</w:t>
      </w:r>
      <w:r w:rsidRPr="00113764">
        <w:rPr>
          <w:rFonts w:asciiTheme="majorHAnsi" w:eastAsiaTheme="minorEastAsia" w:hAnsiTheme="majorHAnsi" w:cs="Arial"/>
          <w:i/>
          <w:sz w:val="20"/>
          <w:szCs w:val="20"/>
          <w:lang w:val="en-GB"/>
        </w:rPr>
        <w:t xml:space="preserve"> development of a </w:t>
      </w:r>
      <w:r w:rsidR="00A21DFD">
        <w:rPr>
          <w:rFonts w:asciiTheme="majorHAnsi" w:eastAsiaTheme="minorEastAsia" w:hAnsiTheme="majorHAnsi" w:cs="Arial"/>
          <w:i/>
          <w:sz w:val="20"/>
          <w:szCs w:val="20"/>
          <w:lang w:val="en-GB"/>
        </w:rPr>
        <w:t>‘</w:t>
      </w:r>
      <w:r w:rsidRPr="00113764">
        <w:rPr>
          <w:rFonts w:asciiTheme="majorHAnsi" w:eastAsiaTheme="minorEastAsia" w:hAnsiTheme="majorHAnsi" w:cs="Arial"/>
          <w:i/>
          <w:sz w:val="20"/>
          <w:szCs w:val="20"/>
          <w:lang w:val="en-GB"/>
        </w:rPr>
        <w:t>force sensing</w:t>
      </w:r>
      <w:r w:rsidR="00A21DFD">
        <w:rPr>
          <w:rFonts w:asciiTheme="majorHAnsi" w:eastAsiaTheme="minorEastAsia" w:hAnsiTheme="majorHAnsi" w:cs="Arial"/>
          <w:i/>
          <w:sz w:val="20"/>
          <w:szCs w:val="20"/>
          <w:lang w:val="en-GB"/>
        </w:rPr>
        <w:t xml:space="preserve">’ lightweight </w:t>
      </w:r>
      <w:r w:rsidR="00E049B6">
        <w:rPr>
          <w:rFonts w:asciiTheme="majorHAnsi" w:eastAsiaTheme="minorEastAsia" w:hAnsiTheme="majorHAnsi" w:cs="Arial"/>
          <w:i/>
          <w:sz w:val="20"/>
          <w:szCs w:val="20"/>
          <w:lang w:val="en-GB"/>
        </w:rPr>
        <w:t>h</w:t>
      </w:r>
      <w:r w:rsidR="00E049B6" w:rsidRPr="00113764">
        <w:rPr>
          <w:rFonts w:asciiTheme="majorHAnsi" w:eastAsiaTheme="minorEastAsia" w:hAnsiTheme="majorHAnsi" w:cs="Arial"/>
          <w:i/>
          <w:sz w:val="20"/>
          <w:szCs w:val="20"/>
          <w:lang w:val="en-GB"/>
        </w:rPr>
        <w:t>and rim</w:t>
      </w:r>
      <w:r w:rsidR="00E049B6">
        <w:rPr>
          <w:rFonts w:asciiTheme="majorHAnsi" w:eastAsiaTheme="minorEastAsia" w:hAnsiTheme="majorHAnsi" w:cs="Arial"/>
          <w:i/>
          <w:sz w:val="20"/>
          <w:szCs w:val="20"/>
          <w:lang w:val="en-GB"/>
        </w:rPr>
        <w:t xml:space="preserve"> for manual wheelchairs</w:t>
      </w:r>
      <w:r w:rsidRPr="00113764">
        <w:rPr>
          <w:rFonts w:asciiTheme="majorHAnsi" w:eastAsiaTheme="minorEastAsia" w:hAnsiTheme="majorHAnsi" w:cs="Arial"/>
          <w:i/>
          <w:sz w:val="20"/>
          <w:szCs w:val="20"/>
          <w:lang w:val="en-GB"/>
        </w:rPr>
        <w:t xml:space="preserve"> allow</w:t>
      </w:r>
      <w:r w:rsidR="001A0CAE">
        <w:rPr>
          <w:rFonts w:asciiTheme="majorHAnsi" w:eastAsiaTheme="minorEastAsia" w:hAnsiTheme="majorHAnsi" w:cs="Arial"/>
          <w:i/>
          <w:sz w:val="20"/>
          <w:szCs w:val="20"/>
          <w:lang w:val="en-GB"/>
        </w:rPr>
        <w:t>ed</w:t>
      </w:r>
      <w:r w:rsidRPr="00113764">
        <w:rPr>
          <w:rFonts w:asciiTheme="majorHAnsi" w:eastAsiaTheme="minorEastAsia" w:hAnsiTheme="majorHAnsi" w:cs="Arial"/>
          <w:i/>
          <w:sz w:val="20"/>
          <w:szCs w:val="20"/>
          <w:lang w:val="en-GB"/>
        </w:rPr>
        <w:t xml:space="preserve"> for the kinematic data to be compared with Electromyographic (EMG muscle patterning</w:t>
      </w:r>
      <w:r w:rsidR="00A21DFD">
        <w:rPr>
          <w:rFonts w:asciiTheme="majorHAnsi" w:eastAsiaTheme="minorEastAsia" w:hAnsiTheme="majorHAnsi" w:cs="Arial"/>
          <w:i/>
          <w:sz w:val="20"/>
          <w:szCs w:val="20"/>
          <w:lang w:val="en-GB"/>
        </w:rPr>
        <w:t>)</w:t>
      </w:r>
      <w:r w:rsidR="00EB399A">
        <w:rPr>
          <w:rFonts w:asciiTheme="majorHAnsi" w:eastAsiaTheme="minorEastAsia" w:hAnsiTheme="majorHAnsi" w:cs="Arial"/>
          <w:i/>
          <w:sz w:val="20"/>
          <w:szCs w:val="20"/>
          <w:lang w:val="en-GB"/>
        </w:rPr>
        <w:t xml:space="preserve"> data. This</w:t>
      </w:r>
      <w:r w:rsidR="00A21DFD">
        <w:rPr>
          <w:rFonts w:asciiTheme="majorHAnsi" w:eastAsiaTheme="minorEastAsia" w:hAnsiTheme="majorHAnsi" w:cs="Arial"/>
          <w:i/>
          <w:sz w:val="20"/>
          <w:szCs w:val="20"/>
          <w:lang w:val="en-GB"/>
        </w:rPr>
        <w:t xml:space="preserve"> </w:t>
      </w:r>
      <w:r w:rsidR="00CA5D24">
        <w:rPr>
          <w:rFonts w:asciiTheme="majorHAnsi" w:eastAsiaTheme="minorEastAsia" w:hAnsiTheme="majorHAnsi" w:cs="Arial"/>
          <w:i/>
          <w:sz w:val="20"/>
          <w:szCs w:val="20"/>
          <w:lang w:val="en-GB"/>
        </w:rPr>
        <w:t xml:space="preserve">demonstrates </w:t>
      </w:r>
      <w:r w:rsidRPr="00113764">
        <w:rPr>
          <w:rFonts w:asciiTheme="majorHAnsi" w:eastAsiaTheme="minorEastAsia" w:hAnsiTheme="majorHAnsi" w:cs="Arial"/>
          <w:i/>
          <w:sz w:val="20"/>
          <w:szCs w:val="20"/>
          <w:lang w:val="en-GB"/>
        </w:rPr>
        <w:t>that this strategic approach can be operationali</w:t>
      </w:r>
      <w:r w:rsidR="00E049B6">
        <w:rPr>
          <w:rFonts w:asciiTheme="majorHAnsi" w:eastAsiaTheme="minorEastAsia" w:hAnsiTheme="majorHAnsi" w:cs="Arial"/>
          <w:i/>
          <w:sz w:val="20"/>
          <w:szCs w:val="20"/>
          <w:lang w:val="en-GB"/>
        </w:rPr>
        <w:t>z</w:t>
      </w:r>
      <w:r w:rsidRPr="00113764">
        <w:rPr>
          <w:rFonts w:asciiTheme="majorHAnsi" w:eastAsiaTheme="minorEastAsia" w:hAnsiTheme="majorHAnsi" w:cs="Arial"/>
          <w:i/>
          <w:sz w:val="20"/>
          <w:szCs w:val="20"/>
          <w:lang w:val="en-GB"/>
        </w:rPr>
        <w:t xml:space="preserve">ed. </w:t>
      </w:r>
      <w:r w:rsidR="00CA5D24">
        <w:rPr>
          <w:rFonts w:asciiTheme="majorHAnsi" w:eastAsiaTheme="minorEastAsia" w:hAnsiTheme="majorHAnsi" w:cs="Arial"/>
          <w:i/>
          <w:sz w:val="20"/>
          <w:szCs w:val="20"/>
          <w:lang w:val="en-GB"/>
        </w:rPr>
        <w:t xml:space="preserve">By mapping the EMG </w:t>
      </w:r>
      <w:r w:rsidR="00D65CDF">
        <w:rPr>
          <w:rFonts w:asciiTheme="majorHAnsi" w:eastAsiaTheme="minorEastAsia" w:hAnsiTheme="majorHAnsi" w:cs="Arial"/>
          <w:i/>
          <w:sz w:val="20"/>
          <w:szCs w:val="20"/>
          <w:lang w:val="en-GB"/>
        </w:rPr>
        <w:t>signal</w:t>
      </w:r>
      <w:r w:rsidR="00CA5D24">
        <w:rPr>
          <w:rFonts w:asciiTheme="majorHAnsi" w:eastAsiaTheme="minorEastAsia" w:hAnsiTheme="majorHAnsi" w:cs="Arial"/>
          <w:i/>
          <w:sz w:val="20"/>
          <w:szCs w:val="20"/>
          <w:lang w:val="en-GB"/>
        </w:rPr>
        <w:t xml:space="preserve">s from the basic science experiments </w:t>
      </w:r>
      <w:r w:rsidR="00A27B1E">
        <w:rPr>
          <w:rFonts w:asciiTheme="majorHAnsi" w:eastAsiaTheme="minorEastAsia" w:hAnsiTheme="majorHAnsi" w:cs="Arial"/>
          <w:i/>
          <w:sz w:val="20"/>
          <w:szCs w:val="20"/>
          <w:lang w:val="en-GB"/>
        </w:rPr>
        <w:t xml:space="preserve">through </w:t>
      </w:r>
      <w:r w:rsidR="00CA5D24">
        <w:rPr>
          <w:rFonts w:asciiTheme="majorHAnsi" w:eastAsiaTheme="minorEastAsia" w:hAnsiTheme="majorHAnsi" w:cs="Arial"/>
          <w:i/>
          <w:sz w:val="20"/>
          <w:szCs w:val="20"/>
          <w:lang w:val="en-GB"/>
        </w:rPr>
        <w:t xml:space="preserve">to clinical evaluation, the groundwork for assuring rapid integration of approaches for the afferent arm of novel </w:t>
      </w:r>
      <w:r w:rsidR="00D65CDF">
        <w:rPr>
          <w:rFonts w:asciiTheme="majorHAnsi" w:eastAsiaTheme="minorEastAsia" w:hAnsiTheme="majorHAnsi" w:cs="Arial"/>
          <w:i/>
          <w:sz w:val="20"/>
          <w:szCs w:val="20"/>
          <w:lang w:val="en-GB"/>
        </w:rPr>
        <w:t xml:space="preserve">‘autosensing’ </w:t>
      </w:r>
      <w:r w:rsidR="00CA5D24">
        <w:rPr>
          <w:rFonts w:asciiTheme="majorHAnsi" w:eastAsiaTheme="minorEastAsia" w:hAnsiTheme="majorHAnsi" w:cs="Arial"/>
          <w:i/>
          <w:sz w:val="20"/>
          <w:szCs w:val="20"/>
          <w:lang w:val="en-GB"/>
        </w:rPr>
        <w:t>FES technologies. T</w:t>
      </w:r>
      <w:r w:rsidR="001A0CAE">
        <w:rPr>
          <w:rFonts w:asciiTheme="majorHAnsi" w:eastAsiaTheme="minorEastAsia" w:hAnsiTheme="majorHAnsi" w:cs="Arial"/>
          <w:i/>
          <w:sz w:val="20"/>
          <w:szCs w:val="20"/>
          <w:lang w:val="en-GB"/>
        </w:rPr>
        <w:t xml:space="preserve">his integrates with </w:t>
      </w:r>
      <w:r w:rsidRPr="00113764">
        <w:rPr>
          <w:rFonts w:asciiTheme="majorHAnsi" w:eastAsiaTheme="minorEastAsia" w:hAnsiTheme="majorHAnsi" w:cs="Arial"/>
          <w:i/>
          <w:sz w:val="20"/>
          <w:szCs w:val="20"/>
          <w:lang w:val="en-GB"/>
        </w:rPr>
        <w:t>work practices</w:t>
      </w:r>
      <w:r w:rsidR="00A21DFD">
        <w:rPr>
          <w:rFonts w:asciiTheme="majorHAnsi" w:eastAsiaTheme="minorEastAsia" w:hAnsiTheme="majorHAnsi" w:cs="Arial"/>
          <w:i/>
          <w:sz w:val="20"/>
          <w:szCs w:val="20"/>
          <w:lang w:val="en-GB"/>
        </w:rPr>
        <w:t xml:space="preserve"> across disciplines</w:t>
      </w:r>
      <w:r w:rsidRPr="00113764">
        <w:rPr>
          <w:rFonts w:asciiTheme="majorHAnsi" w:eastAsiaTheme="minorEastAsia" w:hAnsiTheme="majorHAnsi" w:cs="Arial"/>
          <w:i/>
          <w:sz w:val="20"/>
          <w:szCs w:val="20"/>
          <w:lang w:val="en-GB"/>
        </w:rPr>
        <w:t xml:space="preserve">, so as to create a potential ‘template’ for integration into </w:t>
      </w:r>
      <w:r w:rsidR="00A21DFD">
        <w:rPr>
          <w:rFonts w:asciiTheme="majorHAnsi" w:eastAsiaTheme="minorEastAsia" w:hAnsiTheme="majorHAnsi" w:cs="Arial"/>
          <w:i/>
          <w:sz w:val="20"/>
          <w:szCs w:val="20"/>
          <w:lang w:val="en-GB"/>
        </w:rPr>
        <w:t>S</w:t>
      </w:r>
      <w:r w:rsidRPr="00113764">
        <w:rPr>
          <w:rFonts w:asciiTheme="majorHAnsi" w:eastAsiaTheme="minorEastAsia" w:hAnsiTheme="majorHAnsi" w:cs="Arial"/>
          <w:i/>
          <w:sz w:val="20"/>
          <w:szCs w:val="20"/>
          <w:lang w:val="en-GB"/>
        </w:rPr>
        <w:t xml:space="preserve">tandard </w:t>
      </w:r>
      <w:r w:rsidR="00A21DFD">
        <w:rPr>
          <w:rFonts w:asciiTheme="majorHAnsi" w:eastAsiaTheme="minorEastAsia" w:hAnsiTheme="majorHAnsi" w:cs="Arial"/>
          <w:i/>
          <w:sz w:val="20"/>
          <w:szCs w:val="20"/>
          <w:lang w:val="en-GB"/>
        </w:rPr>
        <w:t>O</w:t>
      </w:r>
      <w:r w:rsidRPr="00113764">
        <w:rPr>
          <w:rFonts w:asciiTheme="majorHAnsi" w:eastAsiaTheme="minorEastAsia" w:hAnsiTheme="majorHAnsi" w:cs="Arial"/>
          <w:i/>
          <w:sz w:val="20"/>
          <w:szCs w:val="20"/>
          <w:lang w:val="en-GB"/>
        </w:rPr>
        <w:t xml:space="preserve">perating </w:t>
      </w:r>
      <w:r w:rsidR="00A21DFD">
        <w:rPr>
          <w:rFonts w:asciiTheme="majorHAnsi" w:eastAsiaTheme="minorEastAsia" w:hAnsiTheme="majorHAnsi" w:cs="Arial"/>
          <w:i/>
          <w:sz w:val="20"/>
          <w:szCs w:val="20"/>
          <w:lang w:val="en-GB"/>
        </w:rPr>
        <w:t>P</w:t>
      </w:r>
      <w:r w:rsidRPr="00113764">
        <w:rPr>
          <w:rFonts w:asciiTheme="majorHAnsi" w:eastAsiaTheme="minorEastAsia" w:hAnsiTheme="majorHAnsi" w:cs="Arial"/>
          <w:i/>
          <w:sz w:val="20"/>
          <w:szCs w:val="20"/>
          <w:lang w:val="en-GB"/>
        </w:rPr>
        <w:t>rocedures (SOPs)</w:t>
      </w:r>
      <w:r w:rsidR="001A0CAE">
        <w:rPr>
          <w:rFonts w:asciiTheme="majorHAnsi" w:eastAsiaTheme="minorEastAsia" w:hAnsiTheme="majorHAnsi" w:cs="Arial"/>
          <w:i/>
          <w:sz w:val="20"/>
          <w:szCs w:val="20"/>
          <w:lang w:val="en-GB"/>
        </w:rPr>
        <w:t>. These</w:t>
      </w:r>
      <w:r w:rsidRPr="00113764">
        <w:rPr>
          <w:rFonts w:asciiTheme="majorHAnsi" w:eastAsiaTheme="minorEastAsia" w:hAnsiTheme="majorHAnsi" w:cs="Arial"/>
          <w:i/>
          <w:sz w:val="20"/>
          <w:szCs w:val="20"/>
          <w:lang w:val="en-GB"/>
        </w:rPr>
        <w:t xml:space="preserve"> accommodate established ‘Good Laboratory Practice’ (GLP) and also can meet the requirements for governance of the translational research framework.</w:t>
      </w:r>
    </w:p>
    <w:p w:rsidR="00CD402B" w:rsidRDefault="00CD402B" w:rsidP="00ED3C60">
      <w:pPr>
        <w:ind w:firstLine="397"/>
        <w:jc w:val="both"/>
        <w:rPr>
          <w:rFonts w:asciiTheme="majorHAnsi" w:hAnsiTheme="majorHAnsi" w:cs="Arial"/>
          <w:sz w:val="20"/>
          <w:szCs w:val="20"/>
        </w:rPr>
      </w:pPr>
    </w:p>
    <w:p w:rsidR="00CD402B" w:rsidRPr="00180DFE" w:rsidRDefault="00CD402B" w:rsidP="00206859">
      <w:pPr>
        <w:jc w:val="both"/>
        <w:rPr>
          <w:rFonts w:asciiTheme="majorHAnsi" w:hAnsiTheme="majorHAnsi"/>
          <w:i/>
          <w:sz w:val="20"/>
          <w:szCs w:val="20"/>
        </w:rPr>
      </w:pPr>
      <w:r w:rsidRPr="00206859">
        <w:rPr>
          <w:rFonts w:asciiTheme="majorHAnsi" w:hAnsiTheme="majorHAnsi" w:cs="Arial"/>
          <w:b/>
          <w:i/>
          <w:sz w:val="20"/>
          <w:szCs w:val="20"/>
        </w:rPr>
        <w:t>Keywords:</w:t>
      </w:r>
      <w:r w:rsidRPr="00180DFE">
        <w:rPr>
          <w:rFonts w:asciiTheme="majorHAnsi" w:hAnsiTheme="majorHAnsi" w:cs="Arial"/>
          <w:sz w:val="20"/>
          <w:szCs w:val="20"/>
        </w:rPr>
        <w:t xml:space="preserve"> </w:t>
      </w:r>
      <w:r w:rsidR="00E049B6" w:rsidRPr="00180DFE">
        <w:rPr>
          <w:rFonts w:asciiTheme="majorHAnsi" w:hAnsiTheme="majorHAnsi" w:cs="Arial"/>
          <w:i/>
          <w:sz w:val="20"/>
          <w:szCs w:val="20"/>
        </w:rPr>
        <w:t>Industrialization</w:t>
      </w:r>
      <w:r w:rsidR="00180DFE" w:rsidRPr="00180DFE">
        <w:rPr>
          <w:rFonts w:asciiTheme="majorHAnsi" w:hAnsiTheme="majorHAnsi" w:cs="Arial"/>
          <w:i/>
          <w:sz w:val="20"/>
          <w:szCs w:val="20"/>
        </w:rPr>
        <w:t>, Knowledge Transfer</w:t>
      </w:r>
      <w:r w:rsidR="00180DFE">
        <w:rPr>
          <w:rFonts w:asciiTheme="majorHAnsi" w:hAnsiTheme="majorHAnsi" w:cs="Arial"/>
          <w:sz w:val="20"/>
          <w:szCs w:val="20"/>
        </w:rPr>
        <w:t xml:space="preserve">, </w:t>
      </w:r>
      <w:r w:rsidRPr="00180DFE">
        <w:rPr>
          <w:rFonts w:asciiTheme="majorHAnsi" w:hAnsiTheme="majorHAnsi"/>
          <w:i/>
          <w:sz w:val="20"/>
          <w:szCs w:val="20"/>
        </w:rPr>
        <w:t xml:space="preserve">Electromyography, </w:t>
      </w:r>
      <w:r w:rsidR="00EB399A">
        <w:rPr>
          <w:rFonts w:asciiTheme="majorHAnsi" w:hAnsiTheme="majorHAnsi"/>
          <w:i/>
          <w:sz w:val="20"/>
          <w:szCs w:val="20"/>
        </w:rPr>
        <w:t>W</w:t>
      </w:r>
      <w:r w:rsidRPr="00180DFE">
        <w:rPr>
          <w:rFonts w:asciiTheme="majorHAnsi" w:hAnsiTheme="majorHAnsi"/>
          <w:i/>
          <w:sz w:val="20"/>
          <w:szCs w:val="20"/>
        </w:rPr>
        <w:t xml:space="preserve">avelet analysis, Biomechanics, Muscle synergy, Rehabilitation, Principal </w:t>
      </w:r>
      <w:r w:rsidR="00EB399A">
        <w:rPr>
          <w:rFonts w:asciiTheme="majorHAnsi" w:hAnsiTheme="majorHAnsi"/>
          <w:i/>
          <w:sz w:val="20"/>
          <w:szCs w:val="20"/>
        </w:rPr>
        <w:t>C</w:t>
      </w:r>
      <w:r w:rsidRPr="00180DFE">
        <w:rPr>
          <w:rFonts w:asciiTheme="majorHAnsi" w:hAnsiTheme="majorHAnsi"/>
          <w:i/>
          <w:sz w:val="20"/>
          <w:szCs w:val="20"/>
        </w:rPr>
        <w:t xml:space="preserve">omponent </w:t>
      </w:r>
      <w:r w:rsidR="00EB399A">
        <w:rPr>
          <w:rFonts w:asciiTheme="majorHAnsi" w:hAnsiTheme="majorHAnsi"/>
          <w:i/>
          <w:sz w:val="20"/>
          <w:szCs w:val="20"/>
        </w:rPr>
        <w:t>A</w:t>
      </w:r>
      <w:r w:rsidRPr="00180DFE">
        <w:rPr>
          <w:rFonts w:asciiTheme="majorHAnsi" w:hAnsiTheme="majorHAnsi"/>
          <w:i/>
          <w:sz w:val="20"/>
          <w:szCs w:val="20"/>
        </w:rPr>
        <w:t>nalysis</w:t>
      </w:r>
      <w:r w:rsidR="00180DFE">
        <w:rPr>
          <w:rFonts w:asciiTheme="majorHAnsi" w:hAnsiTheme="majorHAnsi"/>
          <w:i/>
          <w:sz w:val="20"/>
          <w:szCs w:val="20"/>
        </w:rPr>
        <w:t>, Governance</w:t>
      </w:r>
    </w:p>
    <w:p w:rsidR="00CD402B" w:rsidRPr="00180DFE" w:rsidRDefault="00CD402B" w:rsidP="00ED3C60">
      <w:pPr>
        <w:ind w:firstLine="397"/>
        <w:jc w:val="both"/>
        <w:rPr>
          <w:rFonts w:asciiTheme="majorHAnsi" w:hAnsiTheme="majorHAnsi"/>
          <w:i/>
        </w:rPr>
      </w:pPr>
    </w:p>
    <w:p w:rsidR="00422ED7" w:rsidRPr="00180DFE" w:rsidRDefault="00422ED7" w:rsidP="00ED3C60">
      <w:pPr>
        <w:ind w:firstLine="397"/>
        <w:jc w:val="both"/>
        <w:rPr>
          <w:rFonts w:asciiTheme="majorHAnsi" w:hAnsiTheme="majorHAnsi"/>
        </w:rPr>
        <w:sectPr w:rsidR="00422ED7" w:rsidRPr="00180DFE" w:rsidSect="007B310F">
          <w:footerReference w:type="default" r:id="rId9"/>
          <w:pgSz w:w="12240" w:h="15840"/>
          <w:pgMar w:top="1440" w:right="1080" w:bottom="1440" w:left="1080" w:header="720" w:footer="720" w:gutter="0"/>
          <w:cols w:space="720"/>
          <w:titlePg/>
          <w:docGrid w:linePitch="360"/>
        </w:sectPr>
      </w:pPr>
    </w:p>
    <w:p w:rsidR="00CD402B" w:rsidRPr="00180DFE" w:rsidRDefault="00CD402B" w:rsidP="00EB399A">
      <w:pPr>
        <w:jc w:val="both"/>
        <w:rPr>
          <w:rFonts w:asciiTheme="majorHAnsi" w:hAnsiTheme="majorHAnsi"/>
          <w:b/>
          <w:sz w:val="20"/>
        </w:rPr>
      </w:pPr>
      <w:r w:rsidRPr="00180DFE">
        <w:rPr>
          <w:rFonts w:asciiTheme="majorHAnsi" w:hAnsiTheme="majorHAnsi"/>
          <w:b/>
          <w:sz w:val="20"/>
        </w:rPr>
        <w:lastRenderedPageBreak/>
        <w:t>Introduction</w:t>
      </w:r>
    </w:p>
    <w:p w:rsidR="00CD402B" w:rsidRPr="00180DFE" w:rsidRDefault="00CD402B" w:rsidP="00ED3C60">
      <w:pPr>
        <w:ind w:firstLine="397"/>
        <w:jc w:val="both"/>
        <w:rPr>
          <w:rFonts w:asciiTheme="majorHAnsi" w:hAnsiTheme="majorHAnsi"/>
          <w:b/>
          <w:color w:val="231F20"/>
          <w:sz w:val="16"/>
          <w:szCs w:val="20"/>
        </w:rPr>
        <w:sectPr w:rsidR="00CD402B" w:rsidRPr="00180DFE" w:rsidSect="00B510C1">
          <w:type w:val="continuous"/>
          <w:pgSz w:w="12240" w:h="15840"/>
          <w:pgMar w:top="1440" w:right="1080" w:bottom="1440" w:left="1080" w:header="720" w:footer="720" w:gutter="0"/>
          <w:cols w:num="2" w:space="720"/>
          <w:docGrid w:linePitch="360"/>
        </w:sectPr>
      </w:pPr>
    </w:p>
    <w:p w:rsidR="00113764" w:rsidRDefault="00113764" w:rsidP="00ED3C60">
      <w:pPr>
        <w:ind w:firstLine="397"/>
        <w:jc w:val="both"/>
        <w:rPr>
          <w:rFonts w:asciiTheme="majorHAnsi" w:eastAsiaTheme="minorEastAsia" w:hAnsiTheme="majorHAnsi" w:cs="Arial"/>
          <w:sz w:val="20"/>
          <w:szCs w:val="20"/>
          <w:lang w:val="en-GB"/>
        </w:rPr>
      </w:pPr>
      <w:r>
        <w:rPr>
          <w:rFonts w:asciiTheme="majorHAnsi" w:eastAsiaTheme="minorEastAsia" w:hAnsiTheme="majorHAnsi" w:cs="Arial"/>
          <w:sz w:val="20"/>
          <w:szCs w:val="20"/>
          <w:lang w:val="en-GB"/>
        </w:rPr>
        <w:lastRenderedPageBreak/>
        <w:t>‘R</w:t>
      </w:r>
      <w:r w:rsidR="00180DFE" w:rsidRPr="00180DFE">
        <w:rPr>
          <w:rFonts w:asciiTheme="majorHAnsi" w:eastAsiaTheme="minorEastAsia" w:hAnsiTheme="majorHAnsi" w:cs="Arial"/>
          <w:sz w:val="20"/>
          <w:szCs w:val="20"/>
          <w:lang w:val="en-GB"/>
        </w:rPr>
        <w:t>einventing the wheel</w:t>
      </w:r>
      <w:r>
        <w:rPr>
          <w:rFonts w:asciiTheme="majorHAnsi" w:eastAsiaTheme="minorEastAsia" w:hAnsiTheme="majorHAnsi" w:cs="Arial"/>
          <w:sz w:val="20"/>
          <w:szCs w:val="20"/>
          <w:lang w:val="en-GB"/>
        </w:rPr>
        <w:t>’</w:t>
      </w:r>
      <w:r w:rsidR="00180DFE" w:rsidRPr="00180DFE">
        <w:rPr>
          <w:rFonts w:asciiTheme="majorHAnsi" w:eastAsiaTheme="minorEastAsia" w:hAnsiTheme="majorHAnsi" w:cs="Arial"/>
          <w:sz w:val="20"/>
          <w:szCs w:val="20"/>
          <w:lang w:val="en-GB"/>
        </w:rPr>
        <w:t xml:space="preserve"> is a relatively simple task for modern engineering. Certain </w:t>
      </w:r>
      <w:r w:rsidR="00A21DFD">
        <w:rPr>
          <w:rFonts w:asciiTheme="majorHAnsi" w:eastAsiaTheme="minorEastAsia" w:hAnsiTheme="majorHAnsi" w:cs="Arial"/>
          <w:sz w:val="20"/>
          <w:szCs w:val="20"/>
          <w:lang w:val="en-GB"/>
        </w:rPr>
        <w:t xml:space="preserve">obvious </w:t>
      </w:r>
      <w:r w:rsidR="00180DFE" w:rsidRPr="00180DFE">
        <w:rPr>
          <w:rFonts w:asciiTheme="majorHAnsi" w:eastAsiaTheme="minorEastAsia" w:hAnsiTheme="majorHAnsi" w:cs="Arial"/>
          <w:sz w:val="20"/>
          <w:szCs w:val="20"/>
          <w:lang w:val="en-GB"/>
        </w:rPr>
        <w:t xml:space="preserve">characteristics are evident and have stood the test of time, but as sensing technologies develop, </w:t>
      </w:r>
      <w:r w:rsidR="00B96A0B">
        <w:rPr>
          <w:rFonts w:asciiTheme="majorHAnsi" w:eastAsiaTheme="minorEastAsia" w:hAnsiTheme="majorHAnsi" w:cs="Arial"/>
          <w:sz w:val="20"/>
          <w:szCs w:val="20"/>
          <w:lang w:val="en-GB"/>
        </w:rPr>
        <w:t xml:space="preserve">so does </w:t>
      </w:r>
      <w:r w:rsidR="00180DFE" w:rsidRPr="00180DFE">
        <w:rPr>
          <w:rFonts w:asciiTheme="majorHAnsi" w:eastAsiaTheme="minorEastAsia" w:hAnsiTheme="majorHAnsi" w:cs="Arial"/>
          <w:sz w:val="20"/>
          <w:szCs w:val="20"/>
          <w:lang w:val="en-GB"/>
        </w:rPr>
        <w:t xml:space="preserve">our potential to harness the </w:t>
      </w:r>
      <w:r w:rsidR="00A21DFD">
        <w:rPr>
          <w:rFonts w:asciiTheme="majorHAnsi" w:eastAsiaTheme="minorEastAsia" w:hAnsiTheme="majorHAnsi" w:cs="Arial"/>
          <w:sz w:val="20"/>
          <w:szCs w:val="20"/>
          <w:lang w:val="en-GB"/>
        </w:rPr>
        <w:t>H</w:t>
      </w:r>
      <w:r w:rsidR="00180DFE" w:rsidRPr="00180DFE">
        <w:rPr>
          <w:rFonts w:asciiTheme="majorHAnsi" w:eastAsiaTheme="minorEastAsia" w:hAnsiTheme="majorHAnsi" w:cs="Arial"/>
          <w:sz w:val="20"/>
          <w:szCs w:val="20"/>
          <w:lang w:val="en-GB"/>
        </w:rPr>
        <w:t xml:space="preserve">uman </w:t>
      </w:r>
      <w:r w:rsidR="00A21DFD">
        <w:rPr>
          <w:rFonts w:asciiTheme="majorHAnsi" w:eastAsiaTheme="minorEastAsia" w:hAnsiTheme="majorHAnsi" w:cs="Arial"/>
          <w:sz w:val="20"/>
          <w:szCs w:val="20"/>
          <w:lang w:val="en-GB"/>
        </w:rPr>
        <w:t>M</w:t>
      </w:r>
      <w:r w:rsidR="00180DFE" w:rsidRPr="00180DFE">
        <w:rPr>
          <w:rFonts w:asciiTheme="majorHAnsi" w:eastAsiaTheme="minorEastAsia" w:hAnsiTheme="majorHAnsi" w:cs="Arial"/>
          <w:sz w:val="20"/>
          <w:szCs w:val="20"/>
          <w:lang w:val="en-GB"/>
        </w:rPr>
        <w:t xml:space="preserve">achine </w:t>
      </w:r>
      <w:r w:rsidR="00A21DFD">
        <w:rPr>
          <w:rFonts w:asciiTheme="majorHAnsi" w:eastAsiaTheme="minorEastAsia" w:hAnsiTheme="majorHAnsi" w:cs="Arial"/>
          <w:sz w:val="20"/>
          <w:szCs w:val="20"/>
          <w:lang w:val="en-GB"/>
        </w:rPr>
        <w:t>I</w:t>
      </w:r>
      <w:r w:rsidR="00180DFE" w:rsidRPr="00180DFE">
        <w:rPr>
          <w:rFonts w:asciiTheme="majorHAnsi" w:eastAsiaTheme="minorEastAsia" w:hAnsiTheme="majorHAnsi" w:cs="Arial"/>
          <w:sz w:val="20"/>
          <w:szCs w:val="20"/>
          <w:lang w:val="en-GB"/>
        </w:rPr>
        <w:t xml:space="preserve">nterface </w:t>
      </w:r>
      <w:r w:rsidR="001A0CAE">
        <w:rPr>
          <w:rFonts w:asciiTheme="majorHAnsi" w:eastAsiaTheme="minorEastAsia" w:hAnsiTheme="majorHAnsi" w:cs="Arial"/>
          <w:sz w:val="20"/>
          <w:szCs w:val="20"/>
          <w:lang w:val="en-GB"/>
        </w:rPr>
        <w:t>(HMI)</w:t>
      </w:r>
      <w:r w:rsidR="00B96A0B">
        <w:rPr>
          <w:rFonts w:asciiTheme="majorHAnsi" w:eastAsiaTheme="minorEastAsia" w:hAnsiTheme="majorHAnsi" w:cs="Arial"/>
          <w:sz w:val="20"/>
          <w:szCs w:val="20"/>
          <w:lang w:val="en-GB"/>
        </w:rPr>
        <w:t>. By</w:t>
      </w:r>
      <w:r w:rsidR="001A0CAE">
        <w:rPr>
          <w:rFonts w:asciiTheme="majorHAnsi" w:eastAsiaTheme="minorEastAsia" w:hAnsiTheme="majorHAnsi" w:cs="Arial"/>
          <w:sz w:val="20"/>
          <w:szCs w:val="20"/>
          <w:lang w:val="en-GB"/>
        </w:rPr>
        <w:t xml:space="preserve"> near-real-</w:t>
      </w:r>
      <w:r>
        <w:rPr>
          <w:rFonts w:asciiTheme="majorHAnsi" w:eastAsiaTheme="minorEastAsia" w:hAnsiTheme="majorHAnsi" w:cs="Arial"/>
          <w:sz w:val="20"/>
          <w:szCs w:val="20"/>
          <w:lang w:val="en-GB"/>
        </w:rPr>
        <w:t xml:space="preserve">time analysis of </w:t>
      </w:r>
      <w:r w:rsidR="00180DFE" w:rsidRPr="00180DFE">
        <w:rPr>
          <w:rFonts w:asciiTheme="majorHAnsi" w:eastAsiaTheme="minorEastAsia" w:hAnsiTheme="majorHAnsi" w:cs="Arial"/>
          <w:sz w:val="20"/>
          <w:szCs w:val="20"/>
          <w:lang w:val="en-GB"/>
        </w:rPr>
        <w:t xml:space="preserve">data </w:t>
      </w:r>
      <w:r w:rsidR="00B96A0B">
        <w:rPr>
          <w:rFonts w:asciiTheme="majorHAnsi" w:eastAsiaTheme="minorEastAsia" w:hAnsiTheme="majorHAnsi" w:cs="Arial"/>
          <w:sz w:val="20"/>
          <w:szCs w:val="20"/>
          <w:lang w:val="en-GB"/>
        </w:rPr>
        <w:t xml:space="preserve">that </w:t>
      </w:r>
      <w:r w:rsidR="00180DFE" w:rsidRPr="00180DFE">
        <w:rPr>
          <w:rFonts w:asciiTheme="majorHAnsi" w:eastAsiaTheme="minorEastAsia" w:hAnsiTheme="majorHAnsi" w:cs="Arial"/>
          <w:sz w:val="20"/>
          <w:szCs w:val="20"/>
          <w:lang w:val="en-GB"/>
        </w:rPr>
        <w:t>it</w:t>
      </w:r>
      <w:r w:rsidR="00EC116D">
        <w:rPr>
          <w:rFonts w:asciiTheme="majorHAnsi" w:eastAsiaTheme="minorEastAsia" w:hAnsiTheme="majorHAnsi" w:cs="Arial"/>
          <w:sz w:val="20"/>
          <w:szCs w:val="20"/>
          <w:lang w:val="en-GB"/>
        </w:rPr>
        <w:t xml:space="preserve"> generates</w:t>
      </w:r>
      <w:r w:rsidR="00B96A0B">
        <w:rPr>
          <w:rFonts w:asciiTheme="majorHAnsi" w:eastAsiaTheme="minorEastAsia" w:hAnsiTheme="majorHAnsi" w:cs="Arial"/>
          <w:sz w:val="20"/>
          <w:szCs w:val="20"/>
          <w:lang w:val="en-GB"/>
        </w:rPr>
        <w:t>, we can create</w:t>
      </w:r>
      <w:r w:rsidR="00180DFE" w:rsidRPr="00180DFE">
        <w:rPr>
          <w:rFonts w:asciiTheme="majorHAnsi" w:eastAsiaTheme="minorEastAsia" w:hAnsiTheme="majorHAnsi" w:cs="Arial"/>
          <w:sz w:val="20"/>
          <w:szCs w:val="20"/>
          <w:lang w:val="en-GB"/>
        </w:rPr>
        <w:t xml:space="preserve"> n</w:t>
      </w:r>
      <w:r w:rsidR="001A0CAE">
        <w:rPr>
          <w:rFonts w:asciiTheme="majorHAnsi" w:eastAsiaTheme="minorEastAsia" w:hAnsiTheme="majorHAnsi" w:cs="Arial"/>
          <w:sz w:val="20"/>
          <w:szCs w:val="20"/>
          <w:lang w:val="en-GB"/>
        </w:rPr>
        <w:t>ovel</w:t>
      </w:r>
      <w:r w:rsidR="00180DFE" w:rsidRPr="00180DFE">
        <w:rPr>
          <w:rFonts w:asciiTheme="majorHAnsi" w:eastAsiaTheme="minorEastAsia" w:hAnsiTheme="majorHAnsi" w:cs="Arial"/>
          <w:sz w:val="20"/>
          <w:szCs w:val="20"/>
          <w:lang w:val="en-GB"/>
        </w:rPr>
        <w:t xml:space="preserve"> opportunities for technologies to play a key role </w:t>
      </w:r>
      <w:r w:rsidR="00A21DFD">
        <w:rPr>
          <w:rFonts w:asciiTheme="majorHAnsi" w:eastAsiaTheme="minorEastAsia" w:hAnsiTheme="majorHAnsi" w:cs="Arial"/>
          <w:sz w:val="20"/>
          <w:szCs w:val="20"/>
          <w:lang w:val="en-GB"/>
        </w:rPr>
        <w:t>by</w:t>
      </w:r>
      <w:r w:rsidR="00180DFE" w:rsidRPr="00180DFE">
        <w:rPr>
          <w:rFonts w:asciiTheme="majorHAnsi" w:eastAsiaTheme="minorEastAsia" w:hAnsiTheme="majorHAnsi" w:cs="Arial"/>
          <w:sz w:val="20"/>
          <w:szCs w:val="20"/>
          <w:lang w:val="en-GB"/>
        </w:rPr>
        <w:t xml:space="preserve"> providing insight into how we may </w:t>
      </w:r>
      <w:r>
        <w:rPr>
          <w:rFonts w:asciiTheme="majorHAnsi" w:eastAsiaTheme="minorEastAsia" w:hAnsiTheme="majorHAnsi" w:cs="Arial"/>
          <w:sz w:val="20"/>
          <w:szCs w:val="20"/>
          <w:lang w:val="en-GB"/>
        </w:rPr>
        <w:t>optimise</w:t>
      </w:r>
      <w:r w:rsidR="00180DFE" w:rsidRPr="00180DFE">
        <w:rPr>
          <w:rFonts w:asciiTheme="majorHAnsi" w:eastAsiaTheme="minorEastAsia" w:hAnsiTheme="majorHAnsi" w:cs="Arial"/>
          <w:sz w:val="20"/>
          <w:szCs w:val="20"/>
          <w:lang w:val="en-GB"/>
        </w:rPr>
        <w:t xml:space="preserve"> our environment</w:t>
      </w:r>
      <w:r>
        <w:rPr>
          <w:rFonts w:asciiTheme="majorHAnsi" w:eastAsiaTheme="minorEastAsia" w:hAnsiTheme="majorHAnsi" w:cs="Arial"/>
          <w:sz w:val="20"/>
          <w:szCs w:val="20"/>
          <w:lang w:val="en-GB"/>
        </w:rPr>
        <w:t>,</w:t>
      </w:r>
      <w:r w:rsidR="00180DFE" w:rsidRPr="00180DFE">
        <w:rPr>
          <w:rFonts w:asciiTheme="majorHAnsi" w:eastAsiaTheme="minorEastAsia" w:hAnsiTheme="majorHAnsi" w:cs="Arial"/>
          <w:sz w:val="20"/>
          <w:szCs w:val="20"/>
          <w:lang w:val="en-GB"/>
        </w:rPr>
        <w:t xml:space="preserve"> through adaptation to </w:t>
      </w:r>
      <w:r w:rsidR="00A21DFD">
        <w:rPr>
          <w:rFonts w:asciiTheme="majorHAnsi" w:eastAsiaTheme="minorEastAsia" w:hAnsiTheme="majorHAnsi" w:cs="Arial"/>
          <w:sz w:val="20"/>
          <w:szCs w:val="20"/>
          <w:lang w:val="en-GB"/>
        </w:rPr>
        <w:t xml:space="preserve">our </w:t>
      </w:r>
      <w:r w:rsidR="00180DFE" w:rsidRPr="00180DFE">
        <w:rPr>
          <w:rFonts w:asciiTheme="majorHAnsi" w:eastAsiaTheme="minorEastAsia" w:hAnsiTheme="majorHAnsi" w:cs="Arial"/>
          <w:sz w:val="20"/>
          <w:szCs w:val="20"/>
          <w:lang w:val="en-GB"/>
        </w:rPr>
        <w:t>human performance and its limitations.</w:t>
      </w:r>
      <w:r w:rsidR="00DC3C07">
        <w:rPr>
          <w:rFonts w:asciiTheme="majorHAnsi" w:eastAsiaTheme="minorEastAsia" w:hAnsiTheme="majorHAnsi" w:cs="Arial"/>
          <w:sz w:val="20"/>
          <w:szCs w:val="20"/>
          <w:lang w:val="en-GB"/>
        </w:rPr>
        <w:t xml:space="preserve"> </w:t>
      </w:r>
      <w:r w:rsidR="00B96A0B">
        <w:rPr>
          <w:rFonts w:asciiTheme="majorHAnsi" w:eastAsiaTheme="minorEastAsia" w:hAnsiTheme="majorHAnsi" w:cs="Arial"/>
          <w:sz w:val="20"/>
          <w:szCs w:val="20"/>
          <w:lang w:val="en-GB"/>
        </w:rPr>
        <w:t>Spinal cord injured manual w</w:t>
      </w:r>
      <w:r w:rsidR="00DC3C07">
        <w:rPr>
          <w:rFonts w:asciiTheme="majorHAnsi" w:eastAsiaTheme="minorEastAsia" w:hAnsiTheme="majorHAnsi" w:cs="Arial"/>
          <w:sz w:val="20"/>
          <w:szCs w:val="20"/>
          <w:lang w:val="en-GB"/>
        </w:rPr>
        <w:t>heelchair users suffer significant shoulder problems</w:t>
      </w:r>
      <w:r w:rsidR="003916F0">
        <w:rPr>
          <w:rFonts w:asciiTheme="majorHAnsi" w:eastAsiaTheme="minorEastAsia" w:hAnsiTheme="majorHAnsi" w:cs="Arial"/>
          <w:sz w:val="20"/>
          <w:szCs w:val="20"/>
          <w:lang w:val="en-GB"/>
        </w:rPr>
        <w:fldChar w:fldCharType="begin"/>
      </w:r>
      <w:r w:rsidR="00DC3C07">
        <w:rPr>
          <w:rFonts w:asciiTheme="majorHAnsi" w:eastAsiaTheme="minorEastAsia" w:hAnsiTheme="majorHAnsi" w:cs="Arial"/>
          <w:sz w:val="20"/>
          <w:szCs w:val="20"/>
          <w:lang w:val="en-GB"/>
        </w:rPr>
        <w:instrText xml:space="preserve"> ADDIN REFMGR.CITE &lt;Refman&gt;&lt;Cite&gt;&lt;Author&gt;Curtis&lt;/Author&gt;&lt;Year&gt;1999&lt;/Year&gt;&lt;RecNum&gt;35&lt;/RecNum&gt;&lt;IDText&gt;Shoulder pain in wheelchair users with tetraplegia and paraplegia&lt;/IDText&gt;&lt;MDL Ref_Type="Journal (Full)"&gt;&lt;Ref_Type&gt;Journal (Full)&lt;/Ref_Type&gt;&lt;Ref_ID&gt;35&lt;/Ref_ID&gt;&lt;Title_Primary&gt;&lt;f name="Cambria"&gt;&lt;i&gt;Shoulder pain in wheelchair users with tetraplegia and paraplegia&lt;/i&gt;&lt;/f&gt;&lt;/Title_Primary&gt;&lt;Authors_Primary&gt;Curtis,K.A.,et al.,&lt;/Authors_Primary&gt;&lt;Date_Primary&gt;1999/1/1&lt;/Date_Primary&gt;&lt;Keywords&gt;Shoulder&lt;/Keywords&gt;&lt;Keywords&gt;Pain&lt;/Keywords&gt;&lt;Reprint&gt;In File&lt;/Reprint&gt;&lt;Start_Page&gt;453&lt;/Start_Page&gt;&lt;End_Page&gt;457&lt;/End_Page&gt;&lt;Periodical&gt;Arch Phys Med Rehabil&lt;/Periodical&gt;&lt;Volume&gt;80&lt;/Volume&gt;&lt;Issue&gt;4&lt;/Issue&gt;&lt;ZZ_JournalFull&gt;&lt;f name="System"&gt;Arch Phys Med Rehabil&lt;/f&gt;&lt;/ZZ_JournalFull&gt;&lt;ZZ_WorkformID&gt;32&lt;/ZZ_WorkformID&gt;&lt;/MDL&gt;&lt;/Cite&gt;&lt;/Refman&gt;</w:instrText>
      </w:r>
      <w:r w:rsidR="003916F0">
        <w:rPr>
          <w:rFonts w:asciiTheme="majorHAnsi" w:eastAsiaTheme="minorEastAsia" w:hAnsiTheme="majorHAnsi" w:cs="Arial"/>
          <w:sz w:val="20"/>
          <w:szCs w:val="20"/>
          <w:lang w:val="en-GB"/>
        </w:rPr>
        <w:fldChar w:fldCharType="separate"/>
      </w:r>
      <w:r w:rsidR="00DC3C07">
        <w:rPr>
          <w:rFonts w:asciiTheme="majorHAnsi" w:eastAsiaTheme="minorEastAsia" w:hAnsiTheme="majorHAnsi" w:cs="Arial"/>
          <w:noProof/>
          <w:sz w:val="20"/>
          <w:szCs w:val="20"/>
          <w:lang w:val="en-GB"/>
        </w:rPr>
        <w:t>(1)</w:t>
      </w:r>
      <w:r w:rsidR="003916F0">
        <w:rPr>
          <w:rFonts w:asciiTheme="majorHAnsi" w:eastAsiaTheme="minorEastAsia" w:hAnsiTheme="majorHAnsi" w:cs="Arial"/>
          <w:sz w:val="20"/>
          <w:szCs w:val="20"/>
          <w:lang w:val="en-GB"/>
        </w:rPr>
        <w:fldChar w:fldCharType="end"/>
      </w:r>
      <w:r w:rsidR="00B96A0B">
        <w:rPr>
          <w:rFonts w:asciiTheme="majorHAnsi" w:eastAsiaTheme="minorEastAsia" w:hAnsiTheme="majorHAnsi" w:cs="Arial"/>
          <w:sz w:val="20"/>
          <w:szCs w:val="20"/>
          <w:lang w:val="en-GB"/>
        </w:rPr>
        <w:t xml:space="preserve"> since they are over dependent on their arms for propulsion</w:t>
      </w:r>
      <w:r w:rsidR="00EC116D">
        <w:rPr>
          <w:rFonts w:asciiTheme="majorHAnsi" w:eastAsiaTheme="minorEastAsia" w:hAnsiTheme="majorHAnsi" w:cs="Arial"/>
          <w:sz w:val="20"/>
          <w:szCs w:val="20"/>
          <w:lang w:val="en-GB"/>
        </w:rPr>
        <w:t>. I</w:t>
      </w:r>
      <w:r w:rsidR="00DC3C07">
        <w:rPr>
          <w:rFonts w:asciiTheme="majorHAnsi" w:eastAsiaTheme="minorEastAsia" w:hAnsiTheme="majorHAnsi" w:cs="Arial"/>
          <w:sz w:val="20"/>
          <w:szCs w:val="20"/>
          <w:lang w:val="en-GB"/>
        </w:rPr>
        <w:t xml:space="preserve">nstrumentation of </w:t>
      </w:r>
      <w:r w:rsidR="00EB399A">
        <w:rPr>
          <w:rFonts w:asciiTheme="majorHAnsi" w:eastAsiaTheme="minorEastAsia" w:hAnsiTheme="majorHAnsi" w:cs="Arial"/>
          <w:sz w:val="20"/>
          <w:szCs w:val="20"/>
          <w:lang w:val="en-GB"/>
        </w:rPr>
        <w:t xml:space="preserve">their </w:t>
      </w:r>
      <w:r w:rsidR="00DC3C07">
        <w:rPr>
          <w:rFonts w:asciiTheme="majorHAnsi" w:eastAsiaTheme="minorEastAsia" w:hAnsiTheme="majorHAnsi" w:cs="Arial"/>
          <w:sz w:val="20"/>
          <w:szCs w:val="20"/>
          <w:lang w:val="en-GB"/>
        </w:rPr>
        <w:t xml:space="preserve">activity is </w:t>
      </w:r>
      <w:r w:rsidR="00EC116D">
        <w:rPr>
          <w:rFonts w:asciiTheme="majorHAnsi" w:eastAsiaTheme="minorEastAsia" w:hAnsiTheme="majorHAnsi" w:cs="Arial"/>
          <w:sz w:val="20"/>
          <w:szCs w:val="20"/>
          <w:lang w:val="en-GB"/>
        </w:rPr>
        <w:t xml:space="preserve">therefore </w:t>
      </w:r>
      <w:r w:rsidR="00DC3C07">
        <w:rPr>
          <w:rFonts w:asciiTheme="majorHAnsi" w:eastAsiaTheme="minorEastAsia" w:hAnsiTheme="majorHAnsi" w:cs="Arial"/>
          <w:sz w:val="20"/>
          <w:szCs w:val="20"/>
          <w:lang w:val="en-GB"/>
        </w:rPr>
        <w:t>aimed at developing protective strategies.</w:t>
      </w:r>
    </w:p>
    <w:p w:rsidR="00180DFE" w:rsidRPr="00180DFE" w:rsidRDefault="00D65CDF" w:rsidP="00ED3C60">
      <w:pPr>
        <w:ind w:firstLine="397"/>
        <w:jc w:val="both"/>
        <w:rPr>
          <w:rFonts w:asciiTheme="majorHAnsi" w:eastAsiaTheme="minorEastAsia" w:hAnsiTheme="majorHAnsi" w:cs="Arial"/>
          <w:sz w:val="20"/>
          <w:szCs w:val="20"/>
          <w:lang w:val="en-GB"/>
        </w:rPr>
      </w:pPr>
      <w:r>
        <w:rPr>
          <w:rFonts w:asciiTheme="majorHAnsi" w:eastAsiaTheme="minorEastAsia" w:hAnsiTheme="majorHAnsi" w:cs="Arial"/>
          <w:sz w:val="20"/>
          <w:szCs w:val="20"/>
          <w:lang w:val="en-GB"/>
        </w:rPr>
        <w:lastRenderedPageBreak/>
        <w:t xml:space="preserve">For the purpose of establishing a rapid prototyping and testing system for mapping EMG patterns to kinetic activity, the Translational Research approach was applied to ensure rapid translation within a short time frame for optimal development of approaches </w:t>
      </w:r>
      <w:r w:rsidR="00B96A0B">
        <w:rPr>
          <w:rFonts w:asciiTheme="majorHAnsi" w:eastAsiaTheme="minorEastAsia" w:hAnsiTheme="majorHAnsi" w:cs="Arial"/>
          <w:sz w:val="20"/>
          <w:szCs w:val="20"/>
          <w:lang w:val="en-GB"/>
        </w:rPr>
        <w:t xml:space="preserve">for </w:t>
      </w:r>
      <w:r w:rsidR="00A27B1E">
        <w:rPr>
          <w:rFonts w:asciiTheme="majorHAnsi" w:eastAsiaTheme="minorEastAsia" w:hAnsiTheme="majorHAnsi" w:cs="Arial"/>
          <w:sz w:val="20"/>
          <w:szCs w:val="20"/>
          <w:lang w:val="en-GB"/>
        </w:rPr>
        <w:t>‘</w:t>
      </w:r>
      <w:r w:rsidR="00B96A0B">
        <w:rPr>
          <w:rFonts w:asciiTheme="majorHAnsi" w:eastAsiaTheme="minorEastAsia" w:hAnsiTheme="majorHAnsi" w:cs="Arial"/>
          <w:sz w:val="20"/>
          <w:szCs w:val="20"/>
          <w:lang w:val="en-GB"/>
        </w:rPr>
        <w:t>afferent limb</w:t>
      </w:r>
      <w:r w:rsidR="00A27B1E">
        <w:rPr>
          <w:rFonts w:asciiTheme="majorHAnsi" w:eastAsiaTheme="minorEastAsia" w:hAnsiTheme="majorHAnsi" w:cs="Arial"/>
          <w:sz w:val="20"/>
          <w:szCs w:val="20"/>
          <w:lang w:val="en-GB"/>
        </w:rPr>
        <w:t>’</w:t>
      </w:r>
      <w:r w:rsidR="00B96A0B">
        <w:rPr>
          <w:rFonts w:asciiTheme="majorHAnsi" w:eastAsiaTheme="minorEastAsia" w:hAnsiTheme="majorHAnsi" w:cs="Arial"/>
          <w:sz w:val="20"/>
          <w:szCs w:val="20"/>
          <w:lang w:val="en-GB"/>
        </w:rPr>
        <w:t xml:space="preserve"> activity modelling in the upper limb. </w:t>
      </w:r>
      <w:r w:rsidR="00EC116D">
        <w:rPr>
          <w:rFonts w:asciiTheme="majorHAnsi" w:eastAsiaTheme="minorEastAsia" w:hAnsiTheme="majorHAnsi" w:cs="Arial"/>
          <w:sz w:val="20"/>
          <w:szCs w:val="20"/>
          <w:lang w:val="en-GB"/>
        </w:rPr>
        <w:t>A</w:t>
      </w:r>
      <w:r w:rsidR="00180DFE" w:rsidRPr="00180DFE">
        <w:rPr>
          <w:rFonts w:asciiTheme="majorHAnsi" w:eastAsiaTheme="minorEastAsia" w:hAnsiTheme="majorHAnsi" w:cs="Arial"/>
          <w:sz w:val="20"/>
          <w:szCs w:val="20"/>
          <w:lang w:val="en-GB"/>
        </w:rPr>
        <w:t xml:space="preserve"> kinematic sensing system was </w:t>
      </w:r>
      <w:r w:rsidR="00EC116D">
        <w:rPr>
          <w:rFonts w:asciiTheme="majorHAnsi" w:eastAsiaTheme="minorEastAsia" w:hAnsiTheme="majorHAnsi" w:cs="Arial"/>
          <w:sz w:val="20"/>
          <w:szCs w:val="20"/>
          <w:lang w:val="en-GB"/>
        </w:rPr>
        <w:t xml:space="preserve">thus </w:t>
      </w:r>
      <w:r w:rsidR="00180DFE" w:rsidRPr="00180DFE">
        <w:rPr>
          <w:rFonts w:asciiTheme="majorHAnsi" w:eastAsiaTheme="minorEastAsia" w:hAnsiTheme="majorHAnsi" w:cs="Arial"/>
          <w:sz w:val="20"/>
          <w:szCs w:val="20"/>
          <w:lang w:val="en-GB"/>
        </w:rPr>
        <w:t xml:space="preserve">developed for manual wheelchair users </w:t>
      </w:r>
      <w:r w:rsidR="00113764">
        <w:rPr>
          <w:rFonts w:asciiTheme="majorHAnsi" w:eastAsiaTheme="minorEastAsia" w:hAnsiTheme="majorHAnsi" w:cs="Arial"/>
          <w:sz w:val="20"/>
          <w:szCs w:val="20"/>
          <w:lang w:val="en-GB"/>
        </w:rPr>
        <w:t xml:space="preserve">(MWUs) </w:t>
      </w:r>
      <w:r w:rsidR="00180DFE" w:rsidRPr="00180DFE">
        <w:rPr>
          <w:rFonts w:asciiTheme="majorHAnsi" w:eastAsiaTheme="minorEastAsia" w:hAnsiTheme="majorHAnsi" w:cs="Arial"/>
          <w:sz w:val="20"/>
          <w:szCs w:val="20"/>
          <w:lang w:val="en-GB"/>
        </w:rPr>
        <w:t>which is both lightweight and c</w:t>
      </w:r>
      <w:r w:rsidR="00EB399A">
        <w:rPr>
          <w:rFonts w:asciiTheme="majorHAnsi" w:eastAsiaTheme="minorEastAsia" w:hAnsiTheme="majorHAnsi" w:cs="Arial"/>
          <w:sz w:val="20"/>
          <w:szCs w:val="20"/>
          <w:lang w:val="en-GB"/>
        </w:rPr>
        <w:t>an</w:t>
      </w:r>
      <w:r w:rsidR="00180DFE" w:rsidRPr="00180DFE">
        <w:rPr>
          <w:rFonts w:asciiTheme="majorHAnsi" w:eastAsiaTheme="minorEastAsia" w:hAnsiTheme="majorHAnsi" w:cs="Arial"/>
          <w:sz w:val="20"/>
          <w:szCs w:val="20"/>
          <w:lang w:val="en-GB"/>
        </w:rPr>
        <w:t xml:space="preserve"> provide the data that can be multiplex</w:t>
      </w:r>
      <w:r w:rsidR="00113764">
        <w:rPr>
          <w:rFonts w:asciiTheme="majorHAnsi" w:eastAsiaTheme="minorEastAsia" w:hAnsiTheme="majorHAnsi" w:cs="Arial"/>
          <w:sz w:val="20"/>
          <w:szCs w:val="20"/>
          <w:lang w:val="en-GB"/>
        </w:rPr>
        <w:t>ed</w:t>
      </w:r>
      <w:r w:rsidR="00180DFE" w:rsidRPr="00180DFE">
        <w:rPr>
          <w:rFonts w:asciiTheme="majorHAnsi" w:eastAsiaTheme="minorEastAsia" w:hAnsiTheme="majorHAnsi" w:cs="Arial"/>
          <w:sz w:val="20"/>
          <w:szCs w:val="20"/>
          <w:lang w:val="en-GB"/>
        </w:rPr>
        <w:t xml:space="preserve"> with other </w:t>
      </w:r>
      <w:r w:rsidR="00113764">
        <w:rPr>
          <w:rFonts w:asciiTheme="majorHAnsi" w:eastAsiaTheme="minorEastAsia" w:hAnsiTheme="majorHAnsi" w:cs="Arial"/>
          <w:sz w:val="20"/>
          <w:szCs w:val="20"/>
          <w:lang w:val="en-GB"/>
        </w:rPr>
        <w:t>‘</w:t>
      </w:r>
      <w:r w:rsidR="00180DFE" w:rsidRPr="00180DFE">
        <w:rPr>
          <w:rFonts w:asciiTheme="majorHAnsi" w:eastAsiaTheme="minorEastAsia" w:hAnsiTheme="majorHAnsi" w:cs="Arial"/>
          <w:sz w:val="20"/>
          <w:szCs w:val="20"/>
          <w:lang w:val="en-GB"/>
        </w:rPr>
        <w:t>streams</w:t>
      </w:r>
      <w:r w:rsidR="00113764">
        <w:rPr>
          <w:rFonts w:asciiTheme="majorHAnsi" w:eastAsiaTheme="minorEastAsia" w:hAnsiTheme="majorHAnsi" w:cs="Arial"/>
          <w:sz w:val="20"/>
          <w:szCs w:val="20"/>
          <w:lang w:val="en-GB"/>
        </w:rPr>
        <w:t>’,</w:t>
      </w:r>
      <w:r w:rsidR="00180DFE" w:rsidRPr="00180DFE">
        <w:rPr>
          <w:rFonts w:asciiTheme="majorHAnsi" w:eastAsiaTheme="minorEastAsia" w:hAnsiTheme="majorHAnsi" w:cs="Arial"/>
          <w:sz w:val="20"/>
          <w:szCs w:val="20"/>
          <w:lang w:val="en-GB"/>
        </w:rPr>
        <w:t xml:space="preserve"> </w:t>
      </w:r>
      <w:r w:rsidR="00A21DFD">
        <w:rPr>
          <w:rFonts w:asciiTheme="majorHAnsi" w:eastAsiaTheme="minorEastAsia" w:hAnsiTheme="majorHAnsi" w:cs="Arial"/>
          <w:sz w:val="20"/>
          <w:szCs w:val="20"/>
          <w:lang w:val="en-GB"/>
        </w:rPr>
        <w:t xml:space="preserve">including 16 channel EMG, </w:t>
      </w:r>
      <w:r w:rsidR="00180DFE" w:rsidRPr="00180DFE">
        <w:rPr>
          <w:rFonts w:asciiTheme="majorHAnsi" w:eastAsiaTheme="minorEastAsia" w:hAnsiTheme="majorHAnsi" w:cs="Arial"/>
          <w:sz w:val="20"/>
          <w:szCs w:val="20"/>
          <w:lang w:val="en-GB"/>
        </w:rPr>
        <w:t>to ensure interoperability</w:t>
      </w:r>
      <w:r w:rsidR="00EB399A">
        <w:rPr>
          <w:rFonts w:asciiTheme="majorHAnsi" w:eastAsiaTheme="minorEastAsia" w:hAnsiTheme="majorHAnsi" w:cs="Arial"/>
          <w:sz w:val="20"/>
          <w:szCs w:val="20"/>
          <w:lang w:val="en-GB"/>
        </w:rPr>
        <w:t xml:space="preserve"> with modular assistive technologies</w:t>
      </w:r>
      <w:r w:rsidR="00180DFE" w:rsidRPr="00180DFE">
        <w:rPr>
          <w:rFonts w:asciiTheme="majorHAnsi" w:eastAsiaTheme="minorEastAsia" w:hAnsiTheme="majorHAnsi" w:cs="Arial"/>
          <w:sz w:val="20"/>
          <w:szCs w:val="20"/>
          <w:lang w:val="en-GB"/>
        </w:rPr>
        <w:t xml:space="preserve">. </w:t>
      </w:r>
      <w:r w:rsidR="00A21DFD">
        <w:rPr>
          <w:rFonts w:asciiTheme="majorHAnsi" w:eastAsiaTheme="minorEastAsia" w:hAnsiTheme="majorHAnsi" w:cs="Arial"/>
          <w:sz w:val="20"/>
          <w:szCs w:val="20"/>
          <w:lang w:val="en-GB"/>
        </w:rPr>
        <w:t>I</w:t>
      </w:r>
      <w:r w:rsidR="00180DFE" w:rsidRPr="00180DFE">
        <w:rPr>
          <w:rFonts w:asciiTheme="majorHAnsi" w:eastAsiaTheme="minorEastAsia" w:hAnsiTheme="majorHAnsi" w:cs="Arial"/>
          <w:sz w:val="20"/>
          <w:szCs w:val="20"/>
          <w:lang w:val="en-GB"/>
        </w:rPr>
        <w:t xml:space="preserve">t is possible to initiate a technology transfer pipeline with </w:t>
      </w:r>
      <w:r w:rsidR="0078668E">
        <w:rPr>
          <w:rFonts w:asciiTheme="majorHAnsi" w:eastAsiaTheme="minorEastAsia" w:hAnsiTheme="majorHAnsi" w:cs="Arial"/>
          <w:sz w:val="20"/>
          <w:szCs w:val="20"/>
          <w:lang w:val="en-GB"/>
        </w:rPr>
        <w:t>Knowledge T</w:t>
      </w:r>
      <w:r w:rsidR="00180DFE" w:rsidRPr="00180DFE">
        <w:rPr>
          <w:rFonts w:asciiTheme="majorHAnsi" w:eastAsiaTheme="minorEastAsia" w:hAnsiTheme="majorHAnsi" w:cs="Arial"/>
          <w:sz w:val="20"/>
          <w:szCs w:val="20"/>
          <w:lang w:val="en-GB"/>
        </w:rPr>
        <w:t>ransfer</w:t>
      </w:r>
      <w:r w:rsidR="00113764">
        <w:rPr>
          <w:rFonts w:asciiTheme="majorHAnsi" w:eastAsiaTheme="minorEastAsia" w:hAnsiTheme="majorHAnsi" w:cs="Arial"/>
          <w:sz w:val="20"/>
          <w:szCs w:val="20"/>
          <w:lang w:val="en-GB"/>
        </w:rPr>
        <w:t xml:space="preserve"> (KT)</w:t>
      </w:r>
      <w:r w:rsidR="00180DFE" w:rsidRPr="00180DFE">
        <w:rPr>
          <w:rFonts w:asciiTheme="majorHAnsi" w:eastAsiaTheme="minorEastAsia" w:hAnsiTheme="majorHAnsi" w:cs="Arial"/>
          <w:sz w:val="20"/>
          <w:szCs w:val="20"/>
          <w:lang w:val="en-GB"/>
        </w:rPr>
        <w:t xml:space="preserve"> from multidisciplinary academic teams</w:t>
      </w:r>
      <w:r w:rsidR="00113764">
        <w:rPr>
          <w:rFonts w:asciiTheme="majorHAnsi" w:eastAsiaTheme="minorEastAsia" w:hAnsiTheme="majorHAnsi" w:cs="Arial"/>
          <w:sz w:val="20"/>
          <w:szCs w:val="20"/>
          <w:lang w:val="en-GB"/>
        </w:rPr>
        <w:t xml:space="preserve">, </w:t>
      </w:r>
      <w:r w:rsidR="00113764" w:rsidRPr="00180DFE">
        <w:rPr>
          <w:rFonts w:asciiTheme="majorHAnsi" w:eastAsiaTheme="minorEastAsia" w:hAnsiTheme="majorHAnsi" w:cs="Arial"/>
          <w:sz w:val="20"/>
          <w:szCs w:val="20"/>
          <w:lang w:val="en-GB"/>
        </w:rPr>
        <w:t>through</w:t>
      </w:r>
      <w:r w:rsidR="00180DFE" w:rsidRPr="00180DFE">
        <w:rPr>
          <w:rFonts w:asciiTheme="majorHAnsi" w:eastAsiaTheme="minorEastAsia" w:hAnsiTheme="majorHAnsi" w:cs="Arial"/>
          <w:sz w:val="20"/>
          <w:szCs w:val="20"/>
          <w:lang w:val="en-GB"/>
        </w:rPr>
        <w:t xml:space="preserve"> development teams to potential industrial </w:t>
      </w:r>
      <w:r w:rsidR="00180DFE" w:rsidRPr="00180DFE">
        <w:rPr>
          <w:rFonts w:asciiTheme="majorHAnsi" w:eastAsiaTheme="minorEastAsia" w:hAnsiTheme="majorHAnsi" w:cs="Arial"/>
          <w:sz w:val="20"/>
          <w:szCs w:val="20"/>
          <w:lang w:val="en-GB"/>
        </w:rPr>
        <w:lastRenderedPageBreak/>
        <w:t>partners</w:t>
      </w:r>
      <w:r w:rsidR="001A0CAE">
        <w:rPr>
          <w:rFonts w:asciiTheme="majorHAnsi" w:eastAsiaTheme="minorEastAsia" w:hAnsiTheme="majorHAnsi" w:cs="Arial"/>
          <w:sz w:val="20"/>
          <w:szCs w:val="20"/>
          <w:lang w:val="en-GB"/>
        </w:rPr>
        <w:t>,</w:t>
      </w:r>
      <w:r w:rsidR="00180DFE" w:rsidRPr="00180DFE">
        <w:rPr>
          <w:rFonts w:asciiTheme="majorHAnsi" w:eastAsiaTheme="minorEastAsia" w:hAnsiTheme="majorHAnsi" w:cs="Arial"/>
          <w:sz w:val="20"/>
          <w:szCs w:val="20"/>
          <w:lang w:val="en-GB"/>
        </w:rPr>
        <w:t xml:space="preserve"> </w:t>
      </w:r>
      <w:r w:rsidR="00113764">
        <w:rPr>
          <w:rFonts w:asciiTheme="majorHAnsi" w:eastAsiaTheme="minorEastAsia" w:hAnsiTheme="majorHAnsi" w:cs="Arial"/>
          <w:sz w:val="20"/>
          <w:szCs w:val="20"/>
          <w:lang w:val="en-GB"/>
        </w:rPr>
        <w:t>in anticipation of</w:t>
      </w:r>
      <w:r w:rsidR="00180DFE" w:rsidRPr="00180DFE">
        <w:rPr>
          <w:rFonts w:asciiTheme="majorHAnsi" w:eastAsiaTheme="minorEastAsia" w:hAnsiTheme="majorHAnsi" w:cs="Arial"/>
          <w:sz w:val="20"/>
          <w:szCs w:val="20"/>
          <w:lang w:val="en-GB"/>
        </w:rPr>
        <w:t xml:space="preserve"> future productisation and commercialisation.</w:t>
      </w:r>
      <w:r w:rsidR="0078668E">
        <w:rPr>
          <w:rFonts w:asciiTheme="majorHAnsi" w:eastAsiaTheme="minorEastAsia" w:hAnsiTheme="majorHAnsi" w:cs="Arial"/>
          <w:sz w:val="20"/>
          <w:szCs w:val="20"/>
          <w:lang w:val="en-GB"/>
        </w:rPr>
        <w:t xml:space="preserve"> </w:t>
      </w:r>
    </w:p>
    <w:p w:rsidR="00180DFE" w:rsidRDefault="00B96A0B" w:rsidP="00ED3C60">
      <w:pPr>
        <w:ind w:firstLine="397"/>
        <w:jc w:val="both"/>
        <w:rPr>
          <w:rFonts w:asciiTheme="majorHAnsi" w:eastAsiaTheme="minorEastAsia" w:hAnsiTheme="majorHAnsi" w:cs="Arial"/>
          <w:sz w:val="20"/>
          <w:szCs w:val="20"/>
          <w:lang w:val="en-GB"/>
        </w:rPr>
      </w:pPr>
      <w:r w:rsidRPr="003916F0">
        <w:rPr>
          <w:noProof/>
        </w:rPr>
        <w:pict>
          <v:shapetype id="_x0000_t202" coordsize="21600,21600" o:spt="202" path="m,l,21600r21600,l21600,xe">
            <v:stroke joinstyle="miter"/>
            <v:path gradientshapeok="t" o:connecttype="rect"/>
          </v:shapetype>
          <v:shape id="_x0000_s1026" type="#_x0000_t202" style="position:absolute;left:0;text-align:left;margin-left:1.3pt;margin-top:226.75pt;width:506pt;height:22.55pt;z-index:251660288" stroked="f">
            <v:textbox inset="0,0,0,0">
              <w:txbxContent>
                <w:p w:rsidR="00FB6AB4" w:rsidRPr="00206859" w:rsidRDefault="00FB6AB4" w:rsidP="00206859">
                  <w:pPr>
                    <w:jc w:val="center"/>
                    <w:rPr>
                      <w:rFonts w:asciiTheme="majorHAnsi" w:hAnsiTheme="majorHAnsi" w:cs="Arial"/>
                      <w:sz w:val="12"/>
                      <w:szCs w:val="20"/>
                    </w:rPr>
                  </w:pPr>
                  <w:r w:rsidRPr="00206859">
                    <w:rPr>
                      <w:b/>
                      <w:sz w:val="20"/>
                    </w:rPr>
                    <w:t xml:space="preserve">Figure </w:t>
                  </w:r>
                  <w:r w:rsidR="003916F0" w:rsidRPr="00206859">
                    <w:rPr>
                      <w:b/>
                      <w:sz w:val="20"/>
                    </w:rPr>
                    <w:fldChar w:fldCharType="begin"/>
                  </w:r>
                  <w:r w:rsidRPr="00206859">
                    <w:rPr>
                      <w:b/>
                      <w:sz w:val="20"/>
                    </w:rPr>
                    <w:instrText xml:space="preserve"> SEQ Figure \* ARABIC </w:instrText>
                  </w:r>
                  <w:r w:rsidR="003916F0" w:rsidRPr="00206859">
                    <w:rPr>
                      <w:b/>
                      <w:sz w:val="20"/>
                    </w:rPr>
                    <w:fldChar w:fldCharType="separate"/>
                  </w:r>
                  <w:r w:rsidR="00D32B60" w:rsidRPr="00206859">
                    <w:rPr>
                      <w:b/>
                      <w:noProof/>
                      <w:sz w:val="20"/>
                    </w:rPr>
                    <w:t>1</w:t>
                  </w:r>
                  <w:r w:rsidR="003916F0" w:rsidRPr="00206859">
                    <w:rPr>
                      <w:b/>
                      <w:sz w:val="20"/>
                    </w:rPr>
                    <w:fldChar w:fldCharType="end"/>
                  </w:r>
                  <w:r w:rsidRPr="00206859">
                    <w:rPr>
                      <w:sz w:val="20"/>
                    </w:rPr>
                    <w:t xml:space="preserve"> Mapping the Technology Readiness Level (TRL) on to the Stages of technical research and development</w:t>
                  </w:r>
                </w:p>
              </w:txbxContent>
            </v:textbox>
            <w10:wrap type="square"/>
          </v:shape>
        </w:pict>
      </w:r>
      <w:r>
        <w:rPr>
          <w:rFonts w:asciiTheme="majorHAnsi" w:eastAsiaTheme="minorEastAsia" w:hAnsiTheme="majorHAnsi" w:cs="Arial"/>
          <w:noProof/>
          <w:sz w:val="20"/>
          <w:szCs w:val="20"/>
          <w:lang w:val="en-GB" w:eastAsia="en-GB"/>
        </w:rPr>
        <w:drawing>
          <wp:anchor distT="0" distB="0" distL="114300" distR="114300" simplePos="0" relativeHeight="251658240" behindDoc="0" locked="0" layoutInCell="1" allowOverlap="1">
            <wp:simplePos x="0" y="0"/>
            <wp:positionH relativeFrom="column">
              <wp:posOffset>-10795</wp:posOffset>
            </wp:positionH>
            <wp:positionV relativeFrom="paragraph">
              <wp:posOffset>-236220</wp:posOffset>
            </wp:positionV>
            <wp:extent cx="6426200" cy="3113405"/>
            <wp:effectExtent l="19050" t="0" r="0" b="0"/>
            <wp:wrapSquare wrapText="bothSides"/>
            <wp:docPr id="10" name="Picture 9" descr="tr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l.png"/>
                    <pic:cNvPicPr/>
                  </pic:nvPicPr>
                  <pic:blipFill>
                    <a:blip r:embed="rId10" cstate="print"/>
                    <a:stretch>
                      <a:fillRect/>
                    </a:stretch>
                  </pic:blipFill>
                  <pic:spPr>
                    <a:xfrm>
                      <a:off x="0" y="0"/>
                      <a:ext cx="6426200" cy="3113405"/>
                    </a:xfrm>
                    <a:prstGeom prst="rect">
                      <a:avLst/>
                    </a:prstGeom>
                  </pic:spPr>
                </pic:pic>
              </a:graphicData>
            </a:graphic>
          </wp:anchor>
        </w:drawing>
      </w:r>
      <w:r w:rsidR="00872926">
        <w:rPr>
          <w:rFonts w:asciiTheme="majorHAnsi" w:eastAsiaTheme="minorEastAsia" w:hAnsiTheme="majorHAnsi" w:cs="Arial"/>
          <w:sz w:val="20"/>
          <w:szCs w:val="20"/>
          <w:lang w:val="en-GB"/>
        </w:rPr>
        <w:t>T</w:t>
      </w:r>
      <w:r w:rsidR="00180DFE" w:rsidRPr="00180DFE">
        <w:rPr>
          <w:rFonts w:asciiTheme="majorHAnsi" w:eastAsiaTheme="minorEastAsia" w:hAnsiTheme="majorHAnsi" w:cs="Arial"/>
          <w:sz w:val="20"/>
          <w:szCs w:val="20"/>
          <w:lang w:val="en-GB"/>
        </w:rPr>
        <w:t xml:space="preserve">his </w:t>
      </w:r>
      <w:r w:rsidR="00872926" w:rsidRPr="00180DFE">
        <w:rPr>
          <w:rFonts w:asciiTheme="majorHAnsi" w:eastAsiaTheme="minorEastAsia" w:hAnsiTheme="majorHAnsi" w:cs="Arial"/>
          <w:sz w:val="20"/>
          <w:szCs w:val="20"/>
          <w:lang w:val="en-GB"/>
        </w:rPr>
        <w:t xml:space="preserve">traditional engineering </w:t>
      </w:r>
      <w:r w:rsidR="00180DFE" w:rsidRPr="00180DFE">
        <w:rPr>
          <w:rFonts w:asciiTheme="majorHAnsi" w:eastAsiaTheme="minorEastAsia" w:hAnsiTheme="majorHAnsi" w:cs="Arial"/>
          <w:sz w:val="20"/>
          <w:szCs w:val="20"/>
          <w:lang w:val="en-GB"/>
        </w:rPr>
        <w:t>process of "design and build</w:t>
      </w:r>
      <w:r w:rsidR="00E049B6" w:rsidRPr="00180DFE">
        <w:rPr>
          <w:rFonts w:asciiTheme="majorHAnsi" w:eastAsiaTheme="minorEastAsia" w:hAnsiTheme="majorHAnsi" w:cs="Arial"/>
          <w:sz w:val="20"/>
          <w:szCs w:val="20"/>
          <w:lang w:val="en-GB"/>
        </w:rPr>
        <w:t>”</w:t>
      </w:r>
      <w:r w:rsidR="00180DFE" w:rsidRPr="00180DFE">
        <w:rPr>
          <w:rFonts w:asciiTheme="majorHAnsi" w:eastAsiaTheme="minorEastAsia" w:hAnsiTheme="majorHAnsi" w:cs="Arial"/>
          <w:sz w:val="20"/>
          <w:szCs w:val="20"/>
          <w:lang w:val="en-GB"/>
        </w:rPr>
        <w:t xml:space="preserve"> has been modified to "co</w:t>
      </w:r>
      <w:r w:rsidR="00113764">
        <w:rPr>
          <w:rFonts w:asciiTheme="majorHAnsi" w:eastAsiaTheme="minorEastAsia" w:hAnsiTheme="majorHAnsi" w:cs="Arial"/>
          <w:sz w:val="20"/>
          <w:szCs w:val="20"/>
          <w:lang w:val="en-GB"/>
        </w:rPr>
        <w:t>-</w:t>
      </w:r>
      <w:r w:rsidR="00180DFE" w:rsidRPr="00180DFE">
        <w:rPr>
          <w:rFonts w:asciiTheme="majorHAnsi" w:eastAsiaTheme="minorEastAsia" w:hAnsiTheme="majorHAnsi" w:cs="Arial"/>
          <w:sz w:val="20"/>
          <w:szCs w:val="20"/>
          <w:lang w:val="en-GB"/>
        </w:rPr>
        <w:t>design" and "</w:t>
      </w:r>
      <w:r w:rsidR="00113764">
        <w:rPr>
          <w:rFonts w:asciiTheme="majorHAnsi" w:eastAsiaTheme="minorEastAsia" w:hAnsiTheme="majorHAnsi" w:cs="Arial"/>
          <w:sz w:val="20"/>
          <w:szCs w:val="20"/>
          <w:lang w:val="en-GB"/>
        </w:rPr>
        <w:t>co-</w:t>
      </w:r>
      <w:r w:rsidR="00180DFE" w:rsidRPr="00180DFE">
        <w:rPr>
          <w:rFonts w:asciiTheme="majorHAnsi" w:eastAsiaTheme="minorEastAsia" w:hAnsiTheme="majorHAnsi" w:cs="Arial"/>
          <w:sz w:val="20"/>
          <w:szCs w:val="20"/>
          <w:lang w:val="en-GB"/>
        </w:rPr>
        <w:t xml:space="preserve">build" in order to accommodate </w:t>
      </w:r>
      <w:r w:rsidR="00E049B6" w:rsidRPr="00180DFE">
        <w:rPr>
          <w:rFonts w:asciiTheme="majorHAnsi" w:eastAsiaTheme="minorEastAsia" w:hAnsiTheme="majorHAnsi" w:cs="Arial"/>
          <w:sz w:val="20"/>
          <w:szCs w:val="20"/>
          <w:lang w:val="en-GB"/>
        </w:rPr>
        <w:t>multidiscipliniarity</w:t>
      </w:r>
      <w:r w:rsidR="00A21DFD">
        <w:rPr>
          <w:rFonts w:asciiTheme="majorHAnsi" w:eastAsiaTheme="minorEastAsia" w:hAnsiTheme="majorHAnsi" w:cs="Arial"/>
          <w:sz w:val="20"/>
          <w:szCs w:val="20"/>
          <w:lang w:val="en-GB"/>
        </w:rPr>
        <w:t>,</w:t>
      </w:r>
      <w:r w:rsidR="00180DFE" w:rsidRPr="00180DFE">
        <w:rPr>
          <w:rFonts w:asciiTheme="majorHAnsi" w:eastAsiaTheme="minorEastAsia" w:hAnsiTheme="majorHAnsi" w:cs="Arial"/>
          <w:sz w:val="20"/>
          <w:szCs w:val="20"/>
          <w:lang w:val="en-GB"/>
        </w:rPr>
        <w:t xml:space="preserve"> methods of validat</w:t>
      </w:r>
      <w:r w:rsidR="00872926">
        <w:rPr>
          <w:rFonts w:asciiTheme="majorHAnsi" w:eastAsiaTheme="minorEastAsia" w:hAnsiTheme="majorHAnsi" w:cs="Arial"/>
          <w:sz w:val="20"/>
          <w:szCs w:val="20"/>
          <w:lang w:val="en-GB"/>
        </w:rPr>
        <w:t>ion and testing. This</w:t>
      </w:r>
      <w:r w:rsidR="00180DFE" w:rsidRPr="00180DFE">
        <w:rPr>
          <w:rFonts w:asciiTheme="majorHAnsi" w:eastAsiaTheme="minorEastAsia" w:hAnsiTheme="majorHAnsi" w:cs="Arial"/>
          <w:sz w:val="20"/>
          <w:szCs w:val="20"/>
          <w:lang w:val="en-GB"/>
        </w:rPr>
        <w:t xml:space="preserve"> demonstrate</w:t>
      </w:r>
      <w:r w:rsidR="00872926">
        <w:rPr>
          <w:rFonts w:asciiTheme="majorHAnsi" w:eastAsiaTheme="minorEastAsia" w:hAnsiTheme="majorHAnsi" w:cs="Arial"/>
          <w:sz w:val="20"/>
          <w:szCs w:val="20"/>
          <w:lang w:val="en-GB"/>
        </w:rPr>
        <w:t>s</w:t>
      </w:r>
      <w:r w:rsidR="00180DFE" w:rsidRPr="00180DFE">
        <w:rPr>
          <w:rFonts w:asciiTheme="majorHAnsi" w:eastAsiaTheme="minorEastAsia" w:hAnsiTheme="majorHAnsi" w:cs="Arial"/>
          <w:sz w:val="20"/>
          <w:szCs w:val="20"/>
          <w:lang w:val="en-GB"/>
        </w:rPr>
        <w:t xml:space="preserve"> the potential to adopt </w:t>
      </w:r>
      <w:r w:rsidR="00113764">
        <w:rPr>
          <w:rFonts w:asciiTheme="majorHAnsi" w:eastAsiaTheme="minorEastAsia" w:hAnsiTheme="majorHAnsi" w:cs="Arial"/>
          <w:sz w:val="20"/>
          <w:szCs w:val="20"/>
          <w:lang w:val="en-GB"/>
        </w:rPr>
        <w:t xml:space="preserve">open and flexible </w:t>
      </w:r>
      <w:r w:rsidR="00180DFE" w:rsidRPr="00180DFE">
        <w:rPr>
          <w:rFonts w:asciiTheme="majorHAnsi" w:eastAsiaTheme="minorEastAsia" w:hAnsiTheme="majorHAnsi" w:cs="Arial"/>
          <w:sz w:val="20"/>
          <w:szCs w:val="20"/>
          <w:lang w:val="en-GB"/>
        </w:rPr>
        <w:t>models for the development of large complex systems as a way of stream</w:t>
      </w:r>
      <w:r w:rsidR="00A21DFD">
        <w:rPr>
          <w:rFonts w:asciiTheme="majorHAnsi" w:eastAsiaTheme="minorEastAsia" w:hAnsiTheme="majorHAnsi" w:cs="Arial"/>
          <w:sz w:val="20"/>
          <w:szCs w:val="20"/>
          <w:lang w:val="en-GB"/>
        </w:rPr>
        <w:t>lining the knowledge transfer f</w:t>
      </w:r>
      <w:r w:rsidR="00180DFE" w:rsidRPr="00180DFE">
        <w:rPr>
          <w:rFonts w:asciiTheme="majorHAnsi" w:eastAsiaTheme="minorEastAsia" w:hAnsiTheme="majorHAnsi" w:cs="Arial"/>
          <w:sz w:val="20"/>
          <w:szCs w:val="20"/>
          <w:lang w:val="en-GB"/>
        </w:rPr>
        <w:t>r</w:t>
      </w:r>
      <w:r w:rsidR="00A21DFD">
        <w:rPr>
          <w:rFonts w:asciiTheme="majorHAnsi" w:eastAsiaTheme="minorEastAsia" w:hAnsiTheme="majorHAnsi" w:cs="Arial"/>
          <w:sz w:val="20"/>
          <w:szCs w:val="20"/>
          <w:lang w:val="en-GB"/>
        </w:rPr>
        <w:t>om</w:t>
      </w:r>
      <w:r w:rsidR="00180DFE" w:rsidRPr="00180DFE">
        <w:rPr>
          <w:rFonts w:asciiTheme="majorHAnsi" w:eastAsiaTheme="minorEastAsia" w:hAnsiTheme="majorHAnsi" w:cs="Arial"/>
          <w:sz w:val="20"/>
          <w:szCs w:val="20"/>
          <w:lang w:val="en-GB"/>
        </w:rPr>
        <w:t xml:space="preserve"> academic research </w:t>
      </w:r>
      <w:r w:rsidR="001A0CAE">
        <w:rPr>
          <w:rFonts w:asciiTheme="majorHAnsi" w:eastAsiaTheme="minorEastAsia" w:hAnsiTheme="majorHAnsi" w:cs="Arial"/>
          <w:sz w:val="20"/>
          <w:szCs w:val="20"/>
          <w:lang w:val="en-GB"/>
        </w:rPr>
        <w:t>to</w:t>
      </w:r>
      <w:r w:rsidR="00180DFE" w:rsidRPr="00180DFE">
        <w:rPr>
          <w:rFonts w:asciiTheme="majorHAnsi" w:eastAsiaTheme="minorEastAsia" w:hAnsiTheme="majorHAnsi" w:cs="Arial"/>
          <w:sz w:val="20"/>
          <w:szCs w:val="20"/>
          <w:lang w:val="en-GB"/>
        </w:rPr>
        <w:t xml:space="preserve"> development projects.</w:t>
      </w:r>
    </w:p>
    <w:p w:rsidR="00972D81" w:rsidRDefault="0078668E" w:rsidP="00ED3C60">
      <w:pPr>
        <w:ind w:firstLine="397"/>
        <w:jc w:val="both"/>
        <w:rPr>
          <w:rFonts w:asciiTheme="majorHAnsi" w:eastAsiaTheme="minorEastAsia" w:hAnsiTheme="majorHAnsi" w:cs="Arial"/>
          <w:sz w:val="20"/>
          <w:szCs w:val="20"/>
          <w:lang w:val="en-GB"/>
        </w:rPr>
      </w:pPr>
      <w:r>
        <w:rPr>
          <w:rFonts w:asciiTheme="majorHAnsi" w:eastAsiaTheme="minorEastAsia" w:hAnsiTheme="majorHAnsi" w:cs="Arial"/>
          <w:sz w:val="20"/>
          <w:szCs w:val="20"/>
          <w:lang w:val="en-GB"/>
        </w:rPr>
        <w:t>The widespread adoption of</w:t>
      </w:r>
      <w:r w:rsidRPr="00180DFE">
        <w:rPr>
          <w:rFonts w:asciiTheme="majorHAnsi" w:eastAsiaTheme="minorEastAsia" w:hAnsiTheme="majorHAnsi" w:cs="Arial"/>
          <w:sz w:val="20"/>
          <w:szCs w:val="20"/>
          <w:lang w:val="en-GB"/>
        </w:rPr>
        <w:t xml:space="preserve"> the</w:t>
      </w:r>
      <w:r>
        <w:rPr>
          <w:rFonts w:asciiTheme="majorHAnsi" w:eastAsiaTheme="minorEastAsia" w:hAnsiTheme="majorHAnsi" w:cs="Arial"/>
          <w:sz w:val="20"/>
          <w:szCs w:val="20"/>
          <w:lang w:val="en-GB"/>
        </w:rPr>
        <w:t xml:space="preserve"> Technology Readiness Level (TR</w:t>
      </w:r>
      <w:r w:rsidRPr="00180DFE">
        <w:rPr>
          <w:rFonts w:asciiTheme="majorHAnsi" w:eastAsiaTheme="minorEastAsia" w:hAnsiTheme="majorHAnsi" w:cs="Arial"/>
          <w:sz w:val="20"/>
          <w:szCs w:val="20"/>
          <w:lang w:val="en-GB"/>
        </w:rPr>
        <w:t>L) scale</w:t>
      </w:r>
      <w:r>
        <w:rPr>
          <w:rFonts w:asciiTheme="majorHAnsi" w:eastAsiaTheme="minorEastAsia" w:hAnsiTheme="majorHAnsi" w:cs="Arial"/>
          <w:sz w:val="20"/>
          <w:szCs w:val="20"/>
          <w:lang w:val="en-GB"/>
        </w:rPr>
        <w:t xml:space="preserve"> (</w:t>
      </w:r>
      <w:r w:rsidRPr="00BA76ED">
        <w:rPr>
          <w:rFonts w:asciiTheme="majorHAnsi" w:eastAsiaTheme="minorEastAsia" w:hAnsiTheme="majorHAnsi" w:cs="Arial"/>
          <w:i/>
          <w:sz w:val="20"/>
          <w:szCs w:val="20"/>
          <w:lang w:val="en-GB"/>
        </w:rPr>
        <w:t>Figure 1</w:t>
      </w:r>
      <w:r>
        <w:rPr>
          <w:rFonts w:asciiTheme="majorHAnsi" w:eastAsiaTheme="minorEastAsia" w:hAnsiTheme="majorHAnsi" w:cs="Arial"/>
          <w:sz w:val="20"/>
          <w:szCs w:val="20"/>
          <w:lang w:val="en-GB"/>
        </w:rPr>
        <w:t xml:space="preserve">) demystifies technological maturity and helps to </w:t>
      </w:r>
      <w:r w:rsidR="00E049B6">
        <w:rPr>
          <w:rFonts w:asciiTheme="majorHAnsi" w:eastAsiaTheme="minorEastAsia" w:hAnsiTheme="majorHAnsi" w:cs="Arial"/>
          <w:sz w:val="20"/>
          <w:szCs w:val="20"/>
          <w:lang w:val="en-GB"/>
        </w:rPr>
        <w:t>operationalize</w:t>
      </w:r>
      <w:r>
        <w:rPr>
          <w:rFonts w:asciiTheme="majorHAnsi" w:eastAsiaTheme="minorEastAsia" w:hAnsiTheme="majorHAnsi" w:cs="Arial"/>
          <w:sz w:val="20"/>
          <w:szCs w:val="20"/>
          <w:lang w:val="en-GB"/>
        </w:rPr>
        <w:t xml:space="preserve"> roadmaps that strategically direct research themes. </w:t>
      </w:r>
      <w:r w:rsidR="00972D81">
        <w:rPr>
          <w:rFonts w:asciiTheme="majorHAnsi" w:eastAsiaTheme="minorEastAsia" w:hAnsiTheme="majorHAnsi" w:cs="Arial"/>
          <w:sz w:val="20"/>
          <w:szCs w:val="20"/>
          <w:lang w:val="en-GB"/>
        </w:rPr>
        <w:t xml:space="preserve"> </w:t>
      </w:r>
    </w:p>
    <w:p w:rsidR="00FE4588" w:rsidRPr="00180DFE" w:rsidRDefault="0078668E" w:rsidP="00ED3C60">
      <w:pPr>
        <w:ind w:firstLine="397"/>
        <w:jc w:val="both"/>
        <w:rPr>
          <w:rFonts w:asciiTheme="majorHAnsi" w:eastAsiaTheme="minorEastAsia" w:hAnsiTheme="majorHAnsi" w:cs="Arial"/>
          <w:sz w:val="20"/>
          <w:szCs w:val="20"/>
          <w:lang w:val="en-GB"/>
        </w:rPr>
      </w:pPr>
      <w:r>
        <w:rPr>
          <w:rFonts w:asciiTheme="majorHAnsi" w:eastAsiaTheme="minorEastAsia" w:hAnsiTheme="majorHAnsi" w:cs="Arial"/>
          <w:sz w:val="20"/>
          <w:szCs w:val="20"/>
          <w:lang w:val="en-GB"/>
        </w:rPr>
        <w:t>This</w:t>
      </w:r>
      <w:r w:rsidRPr="00180DFE">
        <w:rPr>
          <w:rFonts w:asciiTheme="majorHAnsi" w:eastAsiaTheme="minorEastAsia" w:hAnsiTheme="majorHAnsi" w:cs="Arial"/>
          <w:sz w:val="20"/>
          <w:szCs w:val="20"/>
          <w:lang w:val="en-GB"/>
        </w:rPr>
        <w:t xml:space="preserve"> reflects the traditiona</w:t>
      </w:r>
      <w:r>
        <w:rPr>
          <w:rFonts w:asciiTheme="majorHAnsi" w:eastAsiaTheme="minorEastAsia" w:hAnsiTheme="majorHAnsi" w:cs="Arial"/>
          <w:sz w:val="20"/>
          <w:szCs w:val="20"/>
          <w:lang w:val="en-GB"/>
        </w:rPr>
        <w:t>l technology transfer "cascade", b</w:t>
      </w:r>
      <w:r w:rsidR="00872926">
        <w:rPr>
          <w:rFonts w:asciiTheme="majorHAnsi" w:eastAsiaTheme="minorEastAsia" w:hAnsiTheme="majorHAnsi" w:cs="Arial"/>
          <w:sz w:val="20"/>
          <w:szCs w:val="20"/>
          <w:lang w:val="en-GB"/>
        </w:rPr>
        <w:t>ut</w:t>
      </w:r>
      <w:r>
        <w:rPr>
          <w:rFonts w:asciiTheme="majorHAnsi" w:eastAsiaTheme="minorEastAsia" w:hAnsiTheme="majorHAnsi" w:cs="Arial"/>
          <w:sz w:val="20"/>
          <w:szCs w:val="20"/>
          <w:lang w:val="en-GB"/>
        </w:rPr>
        <w:t xml:space="preserve"> </w:t>
      </w:r>
      <w:r w:rsidRPr="00180DFE">
        <w:rPr>
          <w:rFonts w:asciiTheme="majorHAnsi" w:eastAsiaTheme="minorEastAsia" w:hAnsiTheme="majorHAnsi" w:cs="Arial"/>
          <w:sz w:val="20"/>
          <w:szCs w:val="20"/>
          <w:lang w:val="en-GB"/>
        </w:rPr>
        <w:t>identif</w:t>
      </w:r>
      <w:r w:rsidR="00872926">
        <w:rPr>
          <w:rFonts w:asciiTheme="majorHAnsi" w:eastAsiaTheme="minorEastAsia" w:hAnsiTheme="majorHAnsi" w:cs="Arial"/>
          <w:sz w:val="20"/>
          <w:szCs w:val="20"/>
          <w:lang w:val="en-GB"/>
        </w:rPr>
        <w:t>ies</w:t>
      </w:r>
      <w:r w:rsidRPr="00180DFE">
        <w:rPr>
          <w:rFonts w:asciiTheme="majorHAnsi" w:eastAsiaTheme="minorEastAsia" w:hAnsiTheme="majorHAnsi" w:cs="Arial"/>
          <w:sz w:val="20"/>
          <w:szCs w:val="20"/>
          <w:lang w:val="en-GB"/>
        </w:rPr>
        <w:t xml:space="preserve"> nine clear </w:t>
      </w:r>
      <w:r>
        <w:rPr>
          <w:rFonts w:asciiTheme="majorHAnsi" w:eastAsiaTheme="minorEastAsia" w:hAnsiTheme="majorHAnsi" w:cs="Arial"/>
          <w:sz w:val="20"/>
          <w:szCs w:val="20"/>
          <w:lang w:val="en-GB"/>
        </w:rPr>
        <w:t>(</w:t>
      </w:r>
      <w:r w:rsidRPr="00180DFE">
        <w:rPr>
          <w:rFonts w:asciiTheme="majorHAnsi" w:eastAsiaTheme="minorEastAsia" w:hAnsiTheme="majorHAnsi" w:cs="Arial"/>
          <w:sz w:val="20"/>
          <w:szCs w:val="20"/>
          <w:lang w:val="en-GB"/>
        </w:rPr>
        <w:t>discrete</w:t>
      </w:r>
      <w:r w:rsidR="00872926">
        <w:rPr>
          <w:rFonts w:asciiTheme="majorHAnsi" w:eastAsiaTheme="minorEastAsia" w:hAnsiTheme="majorHAnsi" w:cs="Arial"/>
          <w:sz w:val="20"/>
          <w:szCs w:val="20"/>
          <w:lang w:val="en-GB"/>
        </w:rPr>
        <w:t>) stages</w:t>
      </w:r>
      <w:r>
        <w:rPr>
          <w:rFonts w:asciiTheme="majorHAnsi" w:eastAsiaTheme="minorEastAsia" w:hAnsiTheme="majorHAnsi" w:cs="Arial"/>
          <w:sz w:val="20"/>
          <w:szCs w:val="20"/>
          <w:lang w:val="en-GB"/>
        </w:rPr>
        <w:t>.</w:t>
      </w:r>
      <w:r w:rsidRPr="0078668E">
        <w:rPr>
          <w:rFonts w:asciiTheme="majorHAnsi" w:eastAsiaTheme="minorEastAsia" w:hAnsiTheme="majorHAnsi" w:cs="Arial"/>
          <w:sz w:val="20"/>
          <w:szCs w:val="20"/>
          <w:lang w:val="en-GB"/>
        </w:rPr>
        <w:t xml:space="preserve"> </w:t>
      </w:r>
      <w:r>
        <w:rPr>
          <w:rFonts w:asciiTheme="majorHAnsi" w:eastAsiaTheme="minorEastAsia" w:hAnsiTheme="majorHAnsi" w:cs="Arial"/>
          <w:sz w:val="20"/>
          <w:szCs w:val="20"/>
          <w:lang w:val="en-GB"/>
        </w:rPr>
        <w:t xml:space="preserve">This </w:t>
      </w:r>
      <w:r w:rsidR="00EC116D">
        <w:rPr>
          <w:rFonts w:asciiTheme="majorHAnsi" w:eastAsiaTheme="minorEastAsia" w:hAnsiTheme="majorHAnsi" w:cs="Arial"/>
          <w:sz w:val="20"/>
          <w:szCs w:val="20"/>
          <w:lang w:val="en-GB"/>
        </w:rPr>
        <w:t>only r</w:t>
      </w:r>
      <w:r w:rsidRPr="00180DFE">
        <w:rPr>
          <w:rFonts w:asciiTheme="majorHAnsi" w:eastAsiaTheme="minorEastAsia" w:hAnsiTheme="majorHAnsi" w:cs="Arial"/>
          <w:sz w:val="20"/>
          <w:szCs w:val="20"/>
          <w:lang w:val="en-GB"/>
        </w:rPr>
        <w:t>e</w:t>
      </w:r>
      <w:r w:rsidR="00EC116D">
        <w:rPr>
          <w:rFonts w:asciiTheme="majorHAnsi" w:eastAsiaTheme="minorEastAsia" w:hAnsiTheme="majorHAnsi" w:cs="Arial"/>
          <w:sz w:val="20"/>
          <w:szCs w:val="20"/>
          <w:lang w:val="en-GB"/>
        </w:rPr>
        <w:t>vea</w:t>
      </w:r>
      <w:r w:rsidRPr="00180DFE">
        <w:rPr>
          <w:rFonts w:asciiTheme="majorHAnsi" w:eastAsiaTheme="minorEastAsia" w:hAnsiTheme="majorHAnsi" w:cs="Arial"/>
          <w:sz w:val="20"/>
          <w:szCs w:val="20"/>
          <w:lang w:val="en-GB"/>
        </w:rPr>
        <w:t xml:space="preserve">ls part of the story. With development of </w:t>
      </w:r>
      <w:r w:rsidR="001A0CAE" w:rsidRPr="00180DFE">
        <w:rPr>
          <w:rFonts w:asciiTheme="majorHAnsi" w:eastAsiaTheme="minorEastAsia" w:hAnsiTheme="majorHAnsi" w:cs="Arial"/>
          <w:sz w:val="20"/>
          <w:szCs w:val="20"/>
          <w:lang w:val="en-GB"/>
        </w:rPr>
        <w:t>increasing</w:t>
      </w:r>
      <w:r w:rsidR="001A0CAE">
        <w:rPr>
          <w:rFonts w:asciiTheme="majorHAnsi" w:eastAsiaTheme="minorEastAsia" w:hAnsiTheme="majorHAnsi" w:cs="Arial"/>
          <w:sz w:val="20"/>
          <w:szCs w:val="20"/>
          <w:lang w:val="en-GB"/>
        </w:rPr>
        <w:t>ly</w:t>
      </w:r>
      <w:r w:rsidR="001A0CAE" w:rsidRPr="00180DFE">
        <w:rPr>
          <w:rFonts w:asciiTheme="majorHAnsi" w:eastAsiaTheme="minorEastAsia" w:hAnsiTheme="majorHAnsi" w:cs="Arial"/>
          <w:sz w:val="20"/>
          <w:szCs w:val="20"/>
          <w:lang w:val="en-GB"/>
        </w:rPr>
        <w:t xml:space="preserve"> </w:t>
      </w:r>
      <w:r w:rsidRPr="00180DFE">
        <w:rPr>
          <w:rFonts w:asciiTheme="majorHAnsi" w:eastAsiaTheme="minorEastAsia" w:hAnsiTheme="majorHAnsi" w:cs="Arial"/>
          <w:sz w:val="20"/>
          <w:szCs w:val="20"/>
          <w:lang w:val="en-GB"/>
        </w:rPr>
        <w:t xml:space="preserve">complex systems, multiple systems and subsystems may interact, </w:t>
      </w:r>
      <w:r w:rsidR="001A0CAE">
        <w:rPr>
          <w:rFonts w:asciiTheme="majorHAnsi" w:eastAsiaTheme="minorEastAsia" w:hAnsiTheme="majorHAnsi" w:cs="Arial"/>
          <w:sz w:val="20"/>
          <w:szCs w:val="20"/>
          <w:lang w:val="en-GB"/>
        </w:rPr>
        <w:t xml:space="preserve">so </w:t>
      </w:r>
      <w:r w:rsidRPr="00180DFE">
        <w:rPr>
          <w:rFonts w:asciiTheme="majorHAnsi" w:eastAsiaTheme="minorEastAsia" w:hAnsiTheme="majorHAnsi" w:cs="Arial"/>
          <w:sz w:val="20"/>
          <w:szCs w:val="20"/>
          <w:lang w:val="en-GB"/>
        </w:rPr>
        <w:t>interoperability is vital.</w:t>
      </w:r>
      <w:r>
        <w:rPr>
          <w:rFonts w:asciiTheme="majorHAnsi" w:eastAsiaTheme="minorEastAsia" w:hAnsiTheme="majorHAnsi" w:cs="Arial"/>
          <w:sz w:val="20"/>
          <w:szCs w:val="20"/>
          <w:lang w:val="en-GB"/>
        </w:rPr>
        <w:t xml:space="preserve"> </w:t>
      </w:r>
      <w:r w:rsidRPr="00180DFE">
        <w:rPr>
          <w:rFonts w:asciiTheme="majorHAnsi" w:eastAsiaTheme="minorEastAsia" w:hAnsiTheme="majorHAnsi" w:cs="Arial"/>
          <w:sz w:val="20"/>
          <w:szCs w:val="20"/>
          <w:lang w:val="en-GB"/>
        </w:rPr>
        <w:t xml:space="preserve">For this reason, it is necessary to consider the system readiness, </w:t>
      </w:r>
      <w:r w:rsidR="00EC116D">
        <w:rPr>
          <w:rFonts w:asciiTheme="majorHAnsi" w:eastAsiaTheme="minorEastAsia" w:hAnsiTheme="majorHAnsi" w:cs="Arial"/>
          <w:sz w:val="20"/>
          <w:szCs w:val="20"/>
          <w:lang w:val="en-GB"/>
        </w:rPr>
        <w:t>invoking</w:t>
      </w:r>
      <w:r>
        <w:rPr>
          <w:rFonts w:asciiTheme="majorHAnsi" w:eastAsiaTheme="minorEastAsia" w:hAnsiTheme="majorHAnsi" w:cs="Arial"/>
          <w:sz w:val="20"/>
          <w:szCs w:val="20"/>
          <w:lang w:val="en-GB"/>
        </w:rPr>
        <w:t xml:space="preserve"> different evaluation approache</w:t>
      </w:r>
      <w:r w:rsidRPr="00180DFE">
        <w:rPr>
          <w:rFonts w:asciiTheme="majorHAnsi" w:eastAsiaTheme="minorEastAsia" w:hAnsiTheme="majorHAnsi" w:cs="Arial"/>
          <w:sz w:val="20"/>
          <w:szCs w:val="20"/>
          <w:lang w:val="en-GB"/>
        </w:rPr>
        <w:t>s</w:t>
      </w:r>
      <w:r w:rsidR="001A0CAE">
        <w:rPr>
          <w:rFonts w:asciiTheme="majorHAnsi" w:eastAsiaTheme="minorEastAsia" w:hAnsiTheme="majorHAnsi" w:cs="Arial"/>
          <w:sz w:val="20"/>
          <w:szCs w:val="20"/>
          <w:lang w:val="en-GB"/>
        </w:rPr>
        <w:t>,</w:t>
      </w:r>
      <w:r w:rsidRPr="00180DFE">
        <w:rPr>
          <w:rFonts w:asciiTheme="majorHAnsi" w:eastAsiaTheme="minorEastAsia" w:hAnsiTheme="majorHAnsi" w:cs="Arial"/>
          <w:sz w:val="20"/>
          <w:szCs w:val="20"/>
          <w:lang w:val="en-GB"/>
        </w:rPr>
        <w:t xml:space="preserve"> which are equally valid</w:t>
      </w:r>
      <w:r>
        <w:rPr>
          <w:rFonts w:asciiTheme="majorHAnsi" w:eastAsiaTheme="minorEastAsia" w:hAnsiTheme="majorHAnsi" w:cs="Arial"/>
          <w:sz w:val="20"/>
          <w:szCs w:val="20"/>
          <w:lang w:val="en-GB"/>
        </w:rPr>
        <w:t>,</w:t>
      </w:r>
      <w:r w:rsidRPr="00180DFE">
        <w:rPr>
          <w:rFonts w:asciiTheme="majorHAnsi" w:eastAsiaTheme="minorEastAsia" w:hAnsiTheme="majorHAnsi" w:cs="Arial"/>
          <w:sz w:val="20"/>
          <w:szCs w:val="20"/>
          <w:lang w:val="en-GB"/>
        </w:rPr>
        <w:t xml:space="preserve"> and yet often </w:t>
      </w:r>
      <w:r>
        <w:rPr>
          <w:rFonts w:asciiTheme="majorHAnsi" w:eastAsiaTheme="minorEastAsia" w:hAnsiTheme="majorHAnsi" w:cs="Arial"/>
          <w:sz w:val="20"/>
          <w:szCs w:val="20"/>
          <w:lang w:val="en-GB"/>
        </w:rPr>
        <w:t>refer to</w:t>
      </w:r>
      <w:r w:rsidRPr="00180DFE">
        <w:rPr>
          <w:rFonts w:asciiTheme="majorHAnsi" w:eastAsiaTheme="minorEastAsia" w:hAnsiTheme="majorHAnsi" w:cs="Arial"/>
          <w:sz w:val="20"/>
          <w:szCs w:val="20"/>
          <w:lang w:val="en-GB"/>
        </w:rPr>
        <w:t xml:space="preserve"> different parameters. It is therefore not possible to compare these directly</w:t>
      </w:r>
      <w:r w:rsidR="00EC116D">
        <w:rPr>
          <w:rFonts w:asciiTheme="majorHAnsi" w:eastAsiaTheme="minorEastAsia" w:hAnsiTheme="majorHAnsi" w:cs="Arial"/>
          <w:sz w:val="20"/>
          <w:szCs w:val="20"/>
          <w:lang w:val="en-GB"/>
        </w:rPr>
        <w:t>. I</w:t>
      </w:r>
      <w:r>
        <w:rPr>
          <w:rFonts w:asciiTheme="majorHAnsi" w:eastAsiaTheme="minorEastAsia" w:hAnsiTheme="majorHAnsi" w:cs="Arial"/>
          <w:sz w:val="20"/>
          <w:szCs w:val="20"/>
          <w:lang w:val="en-GB"/>
        </w:rPr>
        <w:t>nstead it is practical</w:t>
      </w:r>
      <w:r w:rsidRPr="00180DFE">
        <w:rPr>
          <w:rFonts w:asciiTheme="majorHAnsi" w:eastAsiaTheme="minorEastAsia" w:hAnsiTheme="majorHAnsi" w:cs="Arial"/>
          <w:sz w:val="20"/>
          <w:szCs w:val="20"/>
          <w:lang w:val="en-GB"/>
        </w:rPr>
        <w:t xml:space="preserve"> to represent progress in terms of a "signature"</w:t>
      </w:r>
      <w:r>
        <w:rPr>
          <w:rFonts w:asciiTheme="majorHAnsi" w:eastAsiaTheme="minorEastAsia" w:hAnsiTheme="majorHAnsi" w:cs="Arial"/>
          <w:sz w:val="20"/>
          <w:szCs w:val="20"/>
          <w:lang w:val="en-GB"/>
        </w:rPr>
        <w:t>,</w:t>
      </w:r>
      <w:r w:rsidRPr="00180DFE">
        <w:rPr>
          <w:rFonts w:asciiTheme="majorHAnsi" w:eastAsiaTheme="minorEastAsia" w:hAnsiTheme="majorHAnsi" w:cs="Arial"/>
          <w:sz w:val="20"/>
          <w:szCs w:val="20"/>
          <w:lang w:val="en-GB"/>
        </w:rPr>
        <w:t xml:space="preserve"> reflect</w:t>
      </w:r>
      <w:r w:rsidR="001A0CAE">
        <w:rPr>
          <w:rFonts w:asciiTheme="majorHAnsi" w:eastAsiaTheme="minorEastAsia" w:hAnsiTheme="majorHAnsi" w:cs="Arial"/>
          <w:sz w:val="20"/>
          <w:szCs w:val="20"/>
          <w:lang w:val="en-GB"/>
        </w:rPr>
        <w:t>ing</w:t>
      </w:r>
      <w:r w:rsidRPr="00180DFE">
        <w:rPr>
          <w:rFonts w:asciiTheme="majorHAnsi" w:eastAsiaTheme="minorEastAsia" w:hAnsiTheme="majorHAnsi" w:cs="Arial"/>
          <w:sz w:val="20"/>
          <w:szCs w:val="20"/>
          <w:lang w:val="en-GB"/>
        </w:rPr>
        <w:t xml:space="preserve"> the relative progress of the different subsystems.</w:t>
      </w:r>
      <w:r>
        <w:rPr>
          <w:rFonts w:asciiTheme="majorHAnsi" w:eastAsiaTheme="minorEastAsia" w:hAnsiTheme="majorHAnsi" w:cs="Arial"/>
          <w:sz w:val="20"/>
          <w:szCs w:val="20"/>
          <w:lang w:val="en-GB"/>
        </w:rPr>
        <w:t xml:space="preserve"> </w:t>
      </w:r>
    </w:p>
    <w:p w:rsidR="00180DFE" w:rsidRDefault="00A21DFD" w:rsidP="00ED3C60">
      <w:pPr>
        <w:ind w:firstLine="397"/>
        <w:jc w:val="both"/>
        <w:rPr>
          <w:rFonts w:asciiTheme="majorHAnsi" w:eastAsiaTheme="minorEastAsia" w:hAnsiTheme="majorHAnsi" w:cs="Arial"/>
          <w:sz w:val="20"/>
          <w:szCs w:val="20"/>
          <w:lang w:val="en-GB"/>
        </w:rPr>
      </w:pPr>
      <w:r>
        <w:rPr>
          <w:rFonts w:asciiTheme="majorHAnsi" w:eastAsiaTheme="minorEastAsia" w:hAnsiTheme="majorHAnsi" w:cs="Arial"/>
          <w:sz w:val="20"/>
          <w:szCs w:val="20"/>
          <w:lang w:val="en-GB"/>
        </w:rPr>
        <w:t>U</w:t>
      </w:r>
      <w:r w:rsidR="00180DFE" w:rsidRPr="00180DFE">
        <w:rPr>
          <w:rFonts w:asciiTheme="majorHAnsi" w:eastAsiaTheme="minorEastAsia" w:hAnsiTheme="majorHAnsi" w:cs="Arial"/>
          <w:sz w:val="20"/>
          <w:szCs w:val="20"/>
          <w:lang w:val="en-GB"/>
        </w:rPr>
        <w:t>ltimately we need to ensure adequate inte</w:t>
      </w:r>
      <w:r w:rsidR="00872926">
        <w:rPr>
          <w:rFonts w:asciiTheme="majorHAnsi" w:eastAsiaTheme="minorEastAsia" w:hAnsiTheme="majorHAnsi" w:cs="Arial"/>
          <w:sz w:val="20"/>
          <w:szCs w:val="20"/>
          <w:lang w:val="en-GB"/>
        </w:rPr>
        <w:t>roperability for entire system</w:t>
      </w:r>
      <w:r w:rsidR="00180DFE" w:rsidRPr="00180DFE">
        <w:rPr>
          <w:rFonts w:asciiTheme="majorHAnsi" w:eastAsiaTheme="minorEastAsia" w:hAnsiTheme="majorHAnsi" w:cs="Arial"/>
          <w:sz w:val="20"/>
          <w:szCs w:val="20"/>
          <w:lang w:val="en-GB"/>
        </w:rPr>
        <w:t>s to be deployed, especially in a clinical environment where risk of adverse events necessitates clear governance</w:t>
      </w:r>
      <w:r w:rsidR="00872926">
        <w:rPr>
          <w:rFonts w:asciiTheme="majorHAnsi" w:eastAsiaTheme="minorEastAsia" w:hAnsiTheme="majorHAnsi" w:cs="Arial"/>
          <w:sz w:val="20"/>
          <w:szCs w:val="20"/>
          <w:lang w:val="en-GB"/>
        </w:rPr>
        <w:t xml:space="preserve"> </w:t>
      </w:r>
      <w:r w:rsidR="001A0CAE">
        <w:rPr>
          <w:rFonts w:asciiTheme="majorHAnsi" w:eastAsiaTheme="minorEastAsia" w:hAnsiTheme="majorHAnsi" w:cs="Arial"/>
          <w:sz w:val="20"/>
          <w:szCs w:val="20"/>
          <w:lang w:val="en-GB"/>
        </w:rPr>
        <w:t>and</w:t>
      </w:r>
      <w:r w:rsidR="00872926">
        <w:rPr>
          <w:rFonts w:asciiTheme="majorHAnsi" w:eastAsiaTheme="minorEastAsia" w:hAnsiTheme="majorHAnsi" w:cs="Arial"/>
          <w:sz w:val="20"/>
          <w:szCs w:val="20"/>
          <w:lang w:val="en-GB"/>
        </w:rPr>
        <w:t xml:space="preserve"> risk mitigation</w:t>
      </w:r>
      <w:r w:rsidR="00180DFE" w:rsidRPr="00180DFE">
        <w:rPr>
          <w:rFonts w:asciiTheme="majorHAnsi" w:eastAsiaTheme="minorEastAsia" w:hAnsiTheme="majorHAnsi" w:cs="Arial"/>
          <w:sz w:val="20"/>
          <w:szCs w:val="20"/>
          <w:lang w:val="en-GB"/>
        </w:rPr>
        <w:t>.</w:t>
      </w:r>
    </w:p>
    <w:p w:rsidR="00B96A0B" w:rsidRDefault="00B96A0B" w:rsidP="00972D81">
      <w:pPr>
        <w:jc w:val="both"/>
        <w:rPr>
          <w:rFonts w:asciiTheme="majorHAnsi" w:eastAsiaTheme="minorEastAsia" w:hAnsiTheme="majorHAnsi" w:cs="Arial"/>
          <w:b/>
          <w:sz w:val="20"/>
          <w:szCs w:val="20"/>
          <w:lang w:val="en-GB"/>
        </w:rPr>
      </w:pPr>
    </w:p>
    <w:p w:rsidR="00B01A46" w:rsidRPr="00B01A46" w:rsidRDefault="00B01A46" w:rsidP="00972D81">
      <w:pPr>
        <w:jc w:val="both"/>
        <w:rPr>
          <w:rFonts w:asciiTheme="majorHAnsi" w:eastAsiaTheme="minorEastAsia" w:hAnsiTheme="majorHAnsi" w:cs="Arial"/>
          <w:b/>
          <w:sz w:val="20"/>
          <w:szCs w:val="20"/>
          <w:lang w:val="en-GB"/>
        </w:rPr>
      </w:pPr>
      <w:r w:rsidRPr="00B01A46">
        <w:rPr>
          <w:rFonts w:asciiTheme="majorHAnsi" w:eastAsiaTheme="minorEastAsia" w:hAnsiTheme="majorHAnsi" w:cs="Arial"/>
          <w:b/>
          <w:sz w:val="20"/>
          <w:szCs w:val="20"/>
          <w:lang w:val="en-GB"/>
        </w:rPr>
        <w:t>Governance</w:t>
      </w:r>
    </w:p>
    <w:p w:rsidR="00180DFE" w:rsidRPr="00180DFE" w:rsidRDefault="00180DFE" w:rsidP="00972D81">
      <w:pPr>
        <w:ind w:firstLine="397"/>
        <w:jc w:val="both"/>
        <w:rPr>
          <w:rFonts w:asciiTheme="majorHAnsi" w:eastAsiaTheme="minorEastAsia" w:hAnsiTheme="majorHAnsi" w:cs="Arial"/>
          <w:sz w:val="20"/>
          <w:szCs w:val="20"/>
          <w:lang w:val="en-GB"/>
        </w:rPr>
      </w:pPr>
      <w:r w:rsidRPr="00180DFE">
        <w:rPr>
          <w:rFonts w:asciiTheme="majorHAnsi" w:eastAsiaTheme="minorEastAsia" w:hAnsiTheme="majorHAnsi" w:cs="Arial"/>
          <w:sz w:val="20"/>
          <w:szCs w:val="20"/>
          <w:lang w:val="en-GB"/>
        </w:rPr>
        <w:t>It is essential that we are able to integrate clinical, research and governance information</w:t>
      </w:r>
      <w:r w:rsidR="001A0CAE">
        <w:rPr>
          <w:rFonts w:asciiTheme="majorHAnsi" w:eastAsiaTheme="minorEastAsia" w:hAnsiTheme="majorHAnsi" w:cs="Arial"/>
          <w:sz w:val="20"/>
          <w:szCs w:val="20"/>
          <w:lang w:val="en-GB"/>
        </w:rPr>
        <w:t>. T</w:t>
      </w:r>
      <w:r w:rsidR="00B01A46">
        <w:rPr>
          <w:rFonts w:asciiTheme="majorHAnsi" w:eastAsiaTheme="minorEastAsia" w:hAnsiTheme="majorHAnsi" w:cs="Arial"/>
          <w:sz w:val="20"/>
          <w:szCs w:val="20"/>
          <w:lang w:val="en-GB"/>
        </w:rPr>
        <w:t xml:space="preserve">his </w:t>
      </w:r>
      <w:r w:rsidR="001A0CAE">
        <w:rPr>
          <w:rFonts w:asciiTheme="majorHAnsi" w:eastAsiaTheme="minorEastAsia" w:hAnsiTheme="majorHAnsi" w:cs="Arial"/>
          <w:sz w:val="20"/>
          <w:szCs w:val="20"/>
          <w:lang w:val="en-GB"/>
        </w:rPr>
        <w:t xml:space="preserve">must </w:t>
      </w:r>
      <w:r w:rsidR="00B01A46">
        <w:rPr>
          <w:rFonts w:asciiTheme="majorHAnsi" w:eastAsiaTheme="minorEastAsia" w:hAnsiTheme="majorHAnsi" w:cs="Arial"/>
          <w:sz w:val="20"/>
          <w:szCs w:val="20"/>
          <w:lang w:val="en-GB"/>
        </w:rPr>
        <w:t>compl</w:t>
      </w:r>
      <w:r w:rsidR="001A0CAE">
        <w:rPr>
          <w:rFonts w:asciiTheme="majorHAnsi" w:eastAsiaTheme="minorEastAsia" w:hAnsiTheme="majorHAnsi" w:cs="Arial"/>
          <w:sz w:val="20"/>
          <w:szCs w:val="20"/>
          <w:lang w:val="en-GB"/>
        </w:rPr>
        <w:t xml:space="preserve">y </w:t>
      </w:r>
      <w:r w:rsidR="00B01A46">
        <w:rPr>
          <w:rFonts w:asciiTheme="majorHAnsi" w:eastAsiaTheme="minorEastAsia" w:hAnsiTheme="majorHAnsi" w:cs="Arial"/>
          <w:sz w:val="20"/>
          <w:szCs w:val="20"/>
          <w:lang w:val="en-GB"/>
        </w:rPr>
        <w:t xml:space="preserve">with the necessary standards of information required ‘downstream’ for appropriate </w:t>
      </w:r>
      <w:r w:rsidR="00A21DFD">
        <w:rPr>
          <w:rFonts w:asciiTheme="majorHAnsi" w:eastAsiaTheme="minorEastAsia" w:hAnsiTheme="majorHAnsi" w:cs="Arial"/>
          <w:sz w:val="20"/>
          <w:szCs w:val="20"/>
          <w:lang w:val="en-GB"/>
        </w:rPr>
        <w:t xml:space="preserve">Foods and Drugs </w:t>
      </w:r>
      <w:r w:rsidR="00E049B6">
        <w:rPr>
          <w:rFonts w:asciiTheme="majorHAnsi" w:eastAsiaTheme="minorEastAsia" w:hAnsiTheme="majorHAnsi" w:cs="Arial"/>
          <w:sz w:val="20"/>
          <w:szCs w:val="20"/>
          <w:lang w:val="en-GB"/>
        </w:rPr>
        <w:t>Administration</w:t>
      </w:r>
      <w:r w:rsidR="00A21DFD">
        <w:rPr>
          <w:rFonts w:asciiTheme="majorHAnsi" w:eastAsiaTheme="minorEastAsia" w:hAnsiTheme="majorHAnsi" w:cs="Arial"/>
          <w:sz w:val="20"/>
          <w:szCs w:val="20"/>
          <w:lang w:val="en-GB"/>
        </w:rPr>
        <w:t xml:space="preserve"> (</w:t>
      </w:r>
      <w:r w:rsidR="00B01A46">
        <w:rPr>
          <w:rFonts w:asciiTheme="majorHAnsi" w:eastAsiaTheme="minorEastAsia" w:hAnsiTheme="majorHAnsi" w:cs="Arial"/>
          <w:sz w:val="20"/>
          <w:szCs w:val="20"/>
          <w:lang w:val="en-GB"/>
        </w:rPr>
        <w:t>FDA</w:t>
      </w:r>
      <w:r w:rsidR="00A21DFD">
        <w:rPr>
          <w:rFonts w:asciiTheme="majorHAnsi" w:eastAsiaTheme="minorEastAsia" w:hAnsiTheme="majorHAnsi" w:cs="Arial"/>
          <w:sz w:val="20"/>
          <w:szCs w:val="20"/>
          <w:lang w:val="en-GB"/>
        </w:rPr>
        <w:t>)</w:t>
      </w:r>
      <w:r w:rsidR="00B01A46">
        <w:rPr>
          <w:rFonts w:asciiTheme="majorHAnsi" w:eastAsiaTheme="minorEastAsia" w:hAnsiTheme="majorHAnsi" w:cs="Arial"/>
          <w:sz w:val="20"/>
          <w:szCs w:val="20"/>
          <w:lang w:val="en-GB"/>
        </w:rPr>
        <w:t xml:space="preserve"> and </w:t>
      </w:r>
      <w:r w:rsidR="00A21DFD">
        <w:rPr>
          <w:rFonts w:asciiTheme="majorHAnsi" w:eastAsiaTheme="minorEastAsia" w:hAnsiTheme="majorHAnsi" w:cs="Arial"/>
          <w:sz w:val="20"/>
          <w:szCs w:val="20"/>
          <w:lang w:val="en-GB"/>
        </w:rPr>
        <w:t>European Medic</w:t>
      </w:r>
      <w:r w:rsidR="00972D81">
        <w:rPr>
          <w:rFonts w:asciiTheme="majorHAnsi" w:eastAsiaTheme="minorEastAsia" w:hAnsiTheme="majorHAnsi" w:cs="Arial"/>
          <w:sz w:val="20"/>
          <w:szCs w:val="20"/>
          <w:lang w:val="en-GB"/>
        </w:rPr>
        <w:t xml:space="preserve">ines </w:t>
      </w:r>
      <w:r w:rsidR="00FB6AB4">
        <w:rPr>
          <w:rFonts w:asciiTheme="majorHAnsi" w:eastAsiaTheme="minorEastAsia" w:hAnsiTheme="majorHAnsi" w:cs="Arial"/>
          <w:sz w:val="20"/>
          <w:szCs w:val="20"/>
          <w:lang w:val="en-GB"/>
        </w:rPr>
        <w:t>Agency (EMA) approvals for the North American and European markets respectively</w:t>
      </w:r>
      <w:r w:rsidR="00FB6AB4" w:rsidRPr="00180DFE">
        <w:rPr>
          <w:rFonts w:asciiTheme="majorHAnsi" w:eastAsiaTheme="minorEastAsia" w:hAnsiTheme="majorHAnsi" w:cs="Arial"/>
          <w:sz w:val="20"/>
          <w:szCs w:val="20"/>
          <w:lang w:val="en-GB"/>
        </w:rPr>
        <w:t>.</w:t>
      </w:r>
    </w:p>
    <w:p w:rsidR="00180DFE" w:rsidRPr="00180DFE" w:rsidRDefault="00180DFE" w:rsidP="00ED3C60">
      <w:pPr>
        <w:ind w:firstLine="397"/>
        <w:jc w:val="both"/>
        <w:rPr>
          <w:rFonts w:asciiTheme="majorHAnsi" w:eastAsiaTheme="minorEastAsia" w:hAnsiTheme="majorHAnsi" w:cs="Arial"/>
          <w:sz w:val="20"/>
          <w:szCs w:val="20"/>
          <w:lang w:val="en-GB"/>
        </w:rPr>
      </w:pPr>
      <w:r w:rsidRPr="00180DFE">
        <w:rPr>
          <w:rFonts w:asciiTheme="majorHAnsi" w:eastAsiaTheme="minorEastAsia" w:hAnsiTheme="majorHAnsi" w:cs="Arial"/>
          <w:sz w:val="20"/>
          <w:szCs w:val="20"/>
          <w:lang w:val="en-GB"/>
        </w:rPr>
        <w:t>By developing the appropriate technology transfer environment, it is possible to accelerate the process</w:t>
      </w:r>
      <w:r w:rsidR="001A0CAE">
        <w:rPr>
          <w:rFonts w:asciiTheme="majorHAnsi" w:eastAsiaTheme="minorEastAsia" w:hAnsiTheme="majorHAnsi" w:cs="Arial"/>
          <w:sz w:val="20"/>
          <w:szCs w:val="20"/>
          <w:lang w:val="en-GB"/>
        </w:rPr>
        <w:t>,</w:t>
      </w:r>
      <w:r w:rsidRPr="00180DFE">
        <w:rPr>
          <w:rFonts w:asciiTheme="majorHAnsi" w:eastAsiaTheme="minorEastAsia" w:hAnsiTheme="majorHAnsi" w:cs="Arial"/>
          <w:sz w:val="20"/>
          <w:szCs w:val="20"/>
          <w:lang w:val="en-GB"/>
        </w:rPr>
        <w:t xml:space="preserve"> ensuring that </w:t>
      </w:r>
      <w:r w:rsidR="00B01A46">
        <w:rPr>
          <w:rFonts w:asciiTheme="majorHAnsi" w:eastAsiaTheme="minorEastAsia" w:hAnsiTheme="majorHAnsi" w:cs="Arial"/>
          <w:sz w:val="20"/>
          <w:szCs w:val="20"/>
          <w:lang w:val="en-GB"/>
        </w:rPr>
        <w:t xml:space="preserve">for </w:t>
      </w:r>
      <w:r w:rsidRPr="00180DFE">
        <w:rPr>
          <w:rFonts w:asciiTheme="majorHAnsi" w:eastAsiaTheme="minorEastAsia" w:hAnsiTheme="majorHAnsi" w:cs="Arial"/>
          <w:sz w:val="20"/>
          <w:szCs w:val="20"/>
          <w:lang w:val="en-GB"/>
        </w:rPr>
        <w:t>example</w:t>
      </w:r>
      <w:r w:rsidR="00B01A46">
        <w:rPr>
          <w:rFonts w:asciiTheme="majorHAnsi" w:eastAsiaTheme="minorEastAsia" w:hAnsiTheme="majorHAnsi" w:cs="Arial"/>
          <w:sz w:val="20"/>
          <w:szCs w:val="20"/>
          <w:lang w:val="en-GB"/>
        </w:rPr>
        <w:t>;</w:t>
      </w:r>
      <w:r w:rsidRPr="00180DFE">
        <w:rPr>
          <w:rFonts w:asciiTheme="majorHAnsi" w:eastAsiaTheme="minorEastAsia" w:hAnsiTheme="majorHAnsi" w:cs="Arial"/>
          <w:sz w:val="20"/>
          <w:szCs w:val="20"/>
          <w:lang w:val="en-GB"/>
        </w:rPr>
        <w:t xml:space="preserve"> </w:t>
      </w:r>
      <w:r w:rsidR="00B01A46">
        <w:rPr>
          <w:rFonts w:asciiTheme="majorHAnsi" w:eastAsiaTheme="minorEastAsia" w:hAnsiTheme="majorHAnsi" w:cs="Arial"/>
          <w:sz w:val="20"/>
          <w:szCs w:val="20"/>
          <w:lang w:val="en-GB"/>
        </w:rPr>
        <w:t>Good Laboratory P</w:t>
      </w:r>
      <w:r w:rsidRPr="00180DFE">
        <w:rPr>
          <w:rFonts w:asciiTheme="majorHAnsi" w:eastAsiaTheme="minorEastAsia" w:hAnsiTheme="majorHAnsi" w:cs="Arial"/>
          <w:sz w:val="20"/>
          <w:szCs w:val="20"/>
          <w:lang w:val="en-GB"/>
        </w:rPr>
        <w:t xml:space="preserve">ractice </w:t>
      </w:r>
      <w:r w:rsidR="00B01A46">
        <w:rPr>
          <w:rFonts w:asciiTheme="majorHAnsi" w:eastAsiaTheme="minorEastAsia" w:hAnsiTheme="majorHAnsi" w:cs="Arial"/>
          <w:sz w:val="20"/>
          <w:szCs w:val="20"/>
          <w:lang w:val="en-GB"/>
        </w:rPr>
        <w:t xml:space="preserve">(GLP) </w:t>
      </w:r>
      <w:r w:rsidRPr="00180DFE">
        <w:rPr>
          <w:rFonts w:asciiTheme="majorHAnsi" w:eastAsiaTheme="minorEastAsia" w:hAnsiTheme="majorHAnsi" w:cs="Arial"/>
          <w:sz w:val="20"/>
          <w:szCs w:val="20"/>
          <w:lang w:val="en-GB"/>
        </w:rPr>
        <w:t>is managed within the University</w:t>
      </w:r>
      <w:r w:rsidR="00872926">
        <w:rPr>
          <w:rFonts w:asciiTheme="majorHAnsi" w:eastAsiaTheme="minorEastAsia" w:hAnsiTheme="majorHAnsi" w:cs="Arial"/>
          <w:sz w:val="20"/>
          <w:szCs w:val="20"/>
          <w:lang w:val="en-GB"/>
        </w:rPr>
        <w:t xml:space="preserve"> environment</w:t>
      </w:r>
      <w:r w:rsidRPr="00180DFE">
        <w:rPr>
          <w:rFonts w:asciiTheme="majorHAnsi" w:eastAsiaTheme="minorEastAsia" w:hAnsiTheme="majorHAnsi" w:cs="Arial"/>
          <w:sz w:val="20"/>
          <w:szCs w:val="20"/>
          <w:lang w:val="en-GB"/>
        </w:rPr>
        <w:t>, and then translate</w:t>
      </w:r>
      <w:r w:rsidR="00B01A46">
        <w:rPr>
          <w:rFonts w:asciiTheme="majorHAnsi" w:eastAsiaTheme="minorEastAsia" w:hAnsiTheme="majorHAnsi" w:cs="Arial"/>
          <w:sz w:val="20"/>
          <w:szCs w:val="20"/>
          <w:lang w:val="en-GB"/>
        </w:rPr>
        <w:t xml:space="preserve">d </w:t>
      </w:r>
      <w:r w:rsidRPr="00180DFE">
        <w:rPr>
          <w:rFonts w:asciiTheme="majorHAnsi" w:eastAsiaTheme="minorEastAsia" w:hAnsiTheme="majorHAnsi" w:cs="Arial"/>
          <w:sz w:val="20"/>
          <w:szCs w:val="20"/>
          <w:lang w:val="en-GB"/>
        </w:rPr>
        <w:t>accord</w:t>
      </w:r>
      <w:r w:rsidR="001A0CAE" w:rsidRPr="00180DFE">
        <w:rPr>
          <w:rFonts w:asciiTheme="majorHAnsi" w:eastAsiaTheme="minorEastAsia" w:hAnsiTheme="majorHAnsi" w:cs="Arial"/>
          <w:sz w:val="20"/>
          <w:szCs w:val="20"/>
          <w:lang w:val="en-GB"/>
        </w:rPr>
        <w:t>in</w:t>
      </w:r>
      <w:r w:rsidR="001A0CAE">
        <w:rPr>
          <w:rFonts w:asciiTheme="majorHAnsi" w:eastAsiaTheme="minorEastAsia" w:hAnsiTheme="majorHAnsi" w:cs="Arial"/>
          <w:sz w:val="20"/>
          <w:szCs w:val="20"/>
          <w:lang w:val="en-GB"/>
        </w:rPr>
        <w:t>g</w:t>
      </w:r>
      <w:r w:rsidR="001A0CAE" w:rsidRPr="00180DFE">
        <w:rPr>
          <w:rFonts w:asciiTheme="majorHAnsi" w:eastAsiaTheme="minorEastAsia" w:hAnsiTheme="majorHAnsi" w:cs="Arial"/>
          <w:sz w:val="20"/>
          <w:szCs w:val="20"/>
          <w:lang w:val="en-GB"/>
        </w:rPr>
        <w:t xml:space="preserve"> </w:t>
      </w:r>
      <w:r w:rsidR="001A0CAE">
        <w:rPr>
          <w:rFonts w:asciiTheme="majorHAnsi" w:eastAsiaTheme="minorEastAsia" w:hAnsiTheme="majorHAnsi" w:cs="Arial"/>
          <w:sz w:val="20"/>
          <w:szCs w:val="20"/>
          <w:lang w:val="en-GB"/>
        </w:rPr>
        <w:t>to</w:t>
      </w:r>
      <w:r w:rsidRPr="00180DFE">
        <w:rPr>
          <w:rFonts w:asciiTheme="majorHAnsi" w:eastAsiaTheme="minorEastAsia" w:hAnsiTheme="majorHAnsi" w:cs="Arial"/>
          <w:sz w:val="20"/>
          <w:szCs w:val="20"/>
          <w:lang w:val="en-GB"/>
        </w:rPr>
        <w:t xml:space="preserve"> the criteria for Good</w:t>
      </w:r>
      <w:r w:rsidR="00B01A46">
        <w:rPr>
          <w:rFonts w:asciiTheme="majorHAnsi" w:eastAsiaTheme="minorEastAsia" w:hAnsiTheme="majorHAnsi" w:cs="Arial"/>
          <w:sz w:val="20"/>
          <w:szCs w:val="20"/>
          <w:lang w:val="en-GB"/>
        </w:rPr>
        <w:t xml:space="preserve"> </w:t>
      </w:r>
      <w:r w:rsidRPr="00180DFE">
        <w:rPr>
          <w:rFonts w:asciiTheme="majorHAnsi" w:eastAsiaTheme="minorEastAsia" w:hAnsiTheme="majorHAnsi" w:cs="Arial"/>
          <w:sz w:val="20"/>
          <w:szCs w:val="20"/>
          <w:lang w:val="en-GB"/>
        </w:rPr>
        <w:t>Clinical</w:t>
      </w:r>
      <w:r w:rsidR="00B01A46">
        <w:rPr>
          <w:rFonts w:asciiTheme="majorHAnsi" w:eastAsiaTheme="minorEastAsia" w:hAnsiTheme="majorHAnsi" w:cs="Arial"/>
          <w:sz w:val="20"/>
          <w:szCs w:val="20"/>
          <w:lang w:val="en-GB"/>
        </w:rPr>
        <w:t xml:space="preserve"> </w:t>
      </w:r>
      <w:r w:rsidRPr="00180DFE">
        <w:rPr>
          <w:rFonts w:asciiTheme="majorHAnsi" w:eastAsiaTheme="minorEastAsia" w:hAnsiTheme="majorHAnsi" w:cs="Arial"/>
          <w:sz w:val="20"/>
          <w:szCs w:val="20"/>
          <w:lang w:val="en-GB"/>
        </w:rPr>
        <w:t>Practice</w:t>
      </w:r>
      <w:r w:rsidR="00B01A46">
        <w:rPr>
          <w:rFonts w:asciiTheme="majorHAnsi" w:eastAsiaTheme="minorEastAsia" w:hAnsiTheme="majorHAnsi" w:cs="Arial"/>
          <w:sz w:val="20"/>
          <w:szCs w:val="20"/>
          <w:lang w:val="en-GB"/>
        </w:rPr>
        <w:t xml:space="preserve"> (GCP)</w:t>
      </w:r>
      <w:r w:rsidRPr="00180DFE">
        <w:rPr>
          <w:rFonts w:asciiTheme="majorHAnsi" w:eastAsiaTheme="minorEastAsia" w:hAnsiTheme="majorHAnsi" w:cs="Arial"/>
          <w:sz w:val="20"/>
          <w:szCs w:val="20"/>
          <w:lang w:val="en-GB"/>
        </w:rPr>
        <w:t xml:space="preserve">, to </w:t>
      </w:r>
      <w:r w:rsidR="00B01A46">
        <w:rPr>
          <w:rFonts w:asciiTheme="majorHAnsi" w:eastAsiaTheme="minorEastAsia" w:hAnsiTheme="majorHAnsi" w:cs="Arial"/>
          <w:sz w:val="20"/>
          <w:szCs w:val="20"/>
          <w:lang w:val="en-GB"/>
        </w:rPr>
        <w:t xml:space="preserve">ensure compliance for </w:t>
      </w:r>
      <w:r w:rsidRPr="00180DFE">
        <w:rPr>
          <w:rFonts w:asciiTheme="majorHAnsi" w:eastAsiaTheme="minorEastAsia" w:hAnsiTheme="majorHAnsi" w:cs="Arial"/>
          <w:sz w:val="20"/>
          <w:szCs w:val="20"/>
          <w:lang w:val="en-GB"/>
        </w:rPr>
        <w:t xml:space="preserve">clinical trials. </w:t>
      </w:r>
      <w:r w:rsidR="001A0CAE">
        <w:rPr>
          <w:rFonts w:asciiTheme="majorHAnsi" w:eastAsiaTheme="minorEastAsia" w:hAnsiTheme="majorHAnsi" w:cs="Arial"/>
          <w:sz w:val="20"/>
          <w:szCs w:val="20"/>
          <w:lang w:val="en-GB"/>
        </w:rPr>
        <w:t>F</w:t>
      </w:r>
      <w:r w:rsidRPr="00180DFE">
        <w:rPr>
          <w:rFonts w:asciiTheme="majorHAnsi" w:eastAsiaTheme="minorEastAsia" w:hAnsiTheme="majorHAnsi" w:cs="Arial"/>
          <w:sz w:val="20"/>
          <w:szCs w:val="20"/>
          <w:lang w:val="en-GB"/>
        </w:rPr>
        <w:t>ollowing successful completion of these</w:t>
      </w:r>
      <w:r w:rsidR="00BA76ED">
        <w:rPr>
          <w:rFonts w:asciiTheme="majorHAnsi" w:eastAsiaTheme="minorEastAsia" w:hAnsiTheme="majorHAnsi" w:cs="Arial"/>
          <w:sz w:val="20"/>
          <w:szCs w:val="20"/>
          <w:lang w:val="en-GB"/>
        </w:rPr>
        <w:t xml:space="preserve"> validation studies</w:t>
      </w:r>
      <w:r w:rsidRPr="00180DFE">
        <w:rPr>
          <w:rFonts w:asciiTheme="majorHAnsi" w:eastAsiaTheme="minorEastAsia" w:hAnsiTheme="majorHAnsi" w:cs="Arial"/>
          <w:sz w:val="20"/>
          <w:szCs w:val="20"/>
          <w:lang w:val="en-GB"/>
        </w:rPr>
        <w:t xml:space="preserve">, it is necessary to consider aspects of </w:t>
      </w:r>
      <w:r w:rsidR="00B01A46">
        <w:rPr>
          <w:rFonts w:asciiTheme="majorHAnsi" w:eastAsiaTheme="minorEastAsia" w:hAnsiTheme="majorHAnsi" w:cs="Arial"/>
          <w:sz w:val="20"/>
          <w:szCs w:val="20"/>
          <w:lang w:val="en-GB"/>
        </w:rPr>
        <w:t>G</w:t>
      </w:r>
      <w:r w:rsidRPr="00180DFE">
        <w:rPr>
          <w:rFonts w:asciiTheme="majorHAnsi" w:eastAsiaTheme="minorEastAsia" w:hAnsiTheme="majorHAnsi" w:cs="Arial"/>
          <w:sz w:val="20"/>
          <w:szCs w:val="20"/>
          <w:lang w:val="en-GB"/>
        </w:rPr>
        <w:t xml:space="preserve">ood </w:t>
      </w:r>
      <w:r w:rsidR="00B01A46">
        <w:rPr>
          <w:rFonts w:asciiTheme="majorHAnsi" w:eastAsiaTheme="minorEastAsia" w:hAnsiTheme="majorHAnsi" w:cs="Arial"/>
          <w:sz w:val="20"/>
          <w:szCs w:val="20"/>
          <w:lang w:val="en-GB"/>
        </w:rPr>
        <w:t>M</w:t>
      </w:r>
      <w:r w:rsidRPr="00180DFE">
        <w:rPr>
          <w:rFonts w:asciiTheme="majorHAnsi" w:eastAsiaTheme="minorEastAsia" w:hAnsiTheme="majorHAnsi" w:cs="Arial"/>
          <w:sz w:val="20"/>
          <w:szCs w:val="20"/>
          <w:lang w:val="en-GB"/>
        </w:rPr>
        <w:t xml:space="preserve">anufacturing </w:t>
      </w:r>
      <w:r w:rsidR="00B01A46">
        <w:rPr>
          <w:rFonts w:asciiTheme="majorHAnsi" w:eastAsiaTheme="minorEastAsia" w:hAnsiTheme="majorHAnsi" w:cs="Arial"/>
          <w:sz w:val="20"/>
          <w:szCs w:val="20"/>
          <w:lang w:val="en-GB"/>
        </w:rPr>
        <w:t>P</w:t>
      </w:r>
      <w:r w:rsidRPr="00180DFE">
        <w:rPr>
          <w:rFonts w:asciiTheme="majorHAnsi" w:eastAsiaTheme="minorEastAsia" w:hAnsiTheme="majorHAnsi" w:cs="Arial"/>
          <w:sz w:val="20"/>
          <w:szCs w:val="20"/>
          <w:lang w:val="en-GB"/>
        </w:rPr>
        <w:t xml:space="preserve">ractice </w:t>
      </w:r>
      <w:r w:rsidR="00B01A46">
        <w:rPr>
          <w:rFonts w:asciiTheme="majorHAnsi" w:eastAsiaTheme="minorEastAsia" w:hAnsiTheme="majorHAnsi" w:cs="Arial"/>
          <w:sz w:val="20"/>
          <w:szCs w:val="20"/>
          <w:lang w:val="en-GB"/>
        </w:rPr>
        <w:t xml:space="preserve">(GMP) </w:t>
      </w:r>
      <w:r w:rsidRPr="00180DFE">
        <w:rPr>
          <w:rFonts w:asciiTheme="majorHAnsi" w:eastAsiaTheme="minorEastAsia" w:hAnsiTheme="majorHAnsi" w:cs="Arial"/>
          <w:sz w:val="20"/>
          <w:szCs w:val="20"/>
          <w:lang w:val="en-GB"/>
        </w:rPr>
        <w:t xml:space="preserve">and </w:t>
      </w:r>
      <w:r w:rsidR="00B01A46">
        <w:rPr>
          <w:rFonts w:asciiTheme="majorHAnsi" w:eastAsiaTheme="minorEastAsia" w:hAnsiTheme="majorHAnsi" w:cs="Arial"/>
          <w:sz w:val="20"/>
          <w:szCs w:val="20"/>
          <w:lang w:val="en-GB"/>
        </w:rPr>
        <w:t>to recognise the</w:t>
      </w:r>
      <w:r w:rsidRPr="00180DFE">
        <w:rPr>
          <w:rFonts w:asciiTheme="majorHAnsi" w:eastAsiaTheme="minorEastAsia" w:hAnsiTheme="majorHAnsi" w:cs="Arial"/>
          <w:sz w:val="20"/>
          <w:szCs w:val="20"/>
          <w:lang w:val="en-GB"/>
        </w:rPr>
        <w:t xml:space="preserve"> special importance in the medical arena</w:t>
      </w:r>
      <w:r w:rsidR="00B01A46">
        <w:rPr>
          <w:rFonts w:asciiTheme="majorHAnsi" w:eastAsiaTheme="minorEastAsia" w:hAnsiTheme="majorHAnsi" w:cs="Arial"/>
          <w:sz w:val="20"/>
          <w:szCs w:val="20"/>
          <w:lang w:val="en-GB"/>
        </w:rPr>
        <w:t xml:space="preserve"> of a</w:t>
      </w:r>
      <w:r w:rsidRPr="00180DFE">
        <w:rPr>
          <w:rFonts w:asciiTheme="majorHAnsi" w:eastAsiaTheme="minorEastAsia" w:hAnsiTheme="majorHAnsi" w:cs="Arial"/>
          <w:sz w:val="20"/>
          <w:szCs w:val="20"/>
          <w:lang w:val="en-GB"/>
        </w:rPr>
        <w:t xml:space="preserve"> </w:t>
      </w:r>
      <w:r w:rsidR="00B01A46" w:rsidRPr="001A0CAE">
        <w:rPr>
          <w:rFonts w:asciiTheme="majorHAnsi" w:eastAsiaTheme="minorEastAsia" w:hAnsiTheme="majorHAnsi" w:cs="Arial"/>
          <w:i/>
          <w:sz w:val="20"/>
          <w:szCs w:val="20"/>
          <w:lang w:val="en-GB"/>
        </w:rPr>
        <w:t>‘</w:t>
      </w:r>
      <w:r w:rsidRPr="001A0CAE">
        <w:rPr>
          <w:rFonts w:asciiTheme="majorHAnsi" w:eastAsiaTheme="minorEastAsia" w:hAnsiTheme="majorHAnsi" w:cs="Arial"/>
          <w:i/>
          <w:sz w:val="20"/>
          <w:szCs w:val="20"/>
          <w:lang w:val="en-GB"/>
        </w:rPr>
        <w:t>safe mode to failure</w:t>
      </w:r>
      <w:r w:rsidR="00B01A46" w:rsidRPr="001A0CAE">
        <w:rPr>
          <w:rFonts w:asciiTheme="majorHAnsi" w:eastAsiaTheme="minorEastAsia" w:hAnsiTheme="majorHAnsi" w:cs="Arial"/>
          <w:i/>
          <w:sz w:val="20"/>
          <w:szCs w:val="20"/>
          <w:lang w:val="en-GB"/>
        </w:rPr>
        <w:t>’</w:t>
      </w:r>
      <w:r w:rsidRPr="00180DFE">
        <w:rPr>
          <w:rFonts w:asciiTheme="majorHAnsi" w:eastAsiaTheme="minorEastAsia" w:hAnsiTheme="majorHAnsi" w:cs="Arial"/>
          <w:sz w:val="20"/>
          <w:szCs w:val="20"/>
          <w:lang w:val="en-GB"/>
        </w:rPr>
        <w:t>. In cases where failure is anticipated, it is necessary to extend this to consider the appropriate surveillance</w:t>
      </w:r>
      <w:r w:rsidR="001A0CAE">
        <w:rPr>
          <w:rFonts w:asciiTheme="majorHAnsi" w:eastAsiaTheme="minorEastAsia" w:hAnsiTheme="majorHAnsi" w:cs="Arial"/>
          <w:sz w:val="20"/>
          <w:szCs w:val="20"/>
          <w:lang w:val="en-GB"/>
        </w:rPr>
        <w:t>,</w:t>
      </w:r>
      <w:r w:rsidRPr="00180DFE">
        <w:rPr>
          <w:rFonts w:asciiTheme="majorHAnsi" w:eastAsiaTheme="minorEastAsia" w:hAnsiTheme="majorHAnsi" w:cs="Arial"/>
          <w:sz w:val="20"/>
          <w:szCs w:val="20"/>
          <w:lang w:val="en-GB"/>
        </w:rPr>
        <w:t xml:space="preserve"> which is me</w:t>
      </w:r>
      <w:r w:rsidR="00B01A46">
        <w:rPr>
          <w:rFonts w:asciiTheme="majorHAnsi" w:eastAsiaTheme="minorEastAsia" w:hAnsiTheme="majorHAnsi" w:cs="Arial"/>
          <w:sz w:val="20"/>
          <w:szCs w:val="20"/>
          <w:lang w:val="en-GB"/>
        </w:rPr>
        <w:t xml:space="preserve">tered </w:t>
      </w:r>
      <w:r w:rsidRPr="00180DFE">
        <w:rPr>
          <w:rFonts w:asciiTheme="majorHAnsi" w:eastAsiaTheme="minorEastAsia" w:hAnsiTheme="majorHAnsi" w:cs="Arial"/>
          <w:sz w:val="20"/>
          <w:szCs w:val="20"/>
          <w:lang w:val="en-GB"/>
        </w:rPr>
        <w:t>in proportion to the risk.</w:t>
      </w:r>
    </w:p>
    <w:p w:rsidR="00180DFE" w:rsidRDefault="00180DFE" w:rsidP="00ED3C60">
      <w:pPr>
        <w:ind w:firstLine="397"/>
        <w:jc w:val="both"/>
        <w:rPr>
          <w:rFonts w:asciiTheme="majorHAnsi" w:eastAsiaTheme="minorEastAsia" w:hAnsiTheme="majorHAnsi" w:cs="Arial"/>
          <w:sz w:val="20"/>
          <w:szCs w:val="20"/>
          <w:lang w:val="en-GB"/>
        </w:rPr>
      </w:pPr>
      <w:r w:rsidRPr="00180DFE">
        <w:rPr>
          <w:rFonts w:asciiTheme="majorHAnsi" w:eastAsiaTheme="minorEastAsia" w:hAnsiTheme="majorHAnsi" w:cs="Arial"/>
          <w:sz w:val="20"/>
          <w:szCs w:val="20"/>
          <w:lang w:val="en-GB"/>
        </w:rPr>
        <w:t>By adopting a translational research path wh</w:t>
      </w:r>
      <w:r w:rsidR="00BA76ED">
        <w:rPr>
          <w:rFonts w:asciiTheme="majorHAnsi" w:eastAsiaTheme="minorEastAsia" w:hAnsiTheme="majorHAnsi" w:cs="Arial"/>
          <w:sz w:val="20"/>
          <w:szCs w:val="20"/>
          <w:lang w:val="en-GB"/>
        </w:rPr>
        <w:t>ere</w:t>
      </w:r>
      <w:r w:rsidRPr="00180DFE">
        <w:rPr>
          <w:rFonts w:asciiTheme="majorHAnsi" w:eastAsiaTheme="minorEastAsia" w:hAnsiTheme="majorHAnsi" w:cs="Arial"/>
          <w:sz w:val="20"/>
          <w:szCs w:val="20"/>
          <w:lang w:val="en-GB"/>
        </w:rPr>
        <w:t xml:space="preserve"> </w:t>
      </w:r>
      <w:r w:rsidR="00BA76ED">
        <w:rPr>
          <w:rFonts w:asciiTheme="majorHAnsi" w:eastAsiaTheme="minorEastAsia" w:hAnsiTheme="majorHAnsi" w:cs="Arial"/>
          <w:sz w:val="20"/>
          <w:szCs w:val="20"/>
          <w:lang w:val="en-GB"/>
        </w:rPr>
        <w:t xml:space="preserve">the provenance of </w:t>
      </w:r>
      <w:r w:rsidRPr="00180DFE">
        <w:rPr>
          <w:rFonts w:asciiTheme="majorHAnsi" w:eastAsiaTheme="minorEastAsia" w:hAnsiTheme="majorHAnsi" w:cs="Arial"/>
          <w:sz w:val="20"/>
          <w:szCs w:val="20"/>
          <w:lang w:val="en-GB"/>
        </w:rPr>
        <w:t xml:space="preserve">technologies </w:t>
      </w:r>
      <w:r w:rsidR="00B01A46">
        <w:rPr>
          <w:rFonts w:asciiTheme="majorHAnsi" w:eastAsiaTheme="minorEastAsia" w:hAnsiTheme="majorHAnsi" w:cs="Arial"/>
          <w:sz w:val="20"/>
          <w:szCs w:val="20"/>
          <w:lang w:val="en-GB"/>
        </w:rPr>
        <w:t xml:space="preserve">can </w:t>
      </w:r>
      <w:r w:rsidR="00BA76ED">
        <w:rPr>
          <w:rFonts w:asciiTheme="majorHAnsi" w:eastAsiaTheme="minorEastAsia" w:hAnsiTheme="majorHAnsi" w:cs="Arial"/>
          <w:sz w:val="20"/>
          <w:szCs w:val="20"/>
          <w:lang w:val="en-GB"/>
        </w:rPr>
        <w:t xml:space="preserve">be </w:t>
      </w:r>
      <w:r w:rsidR="00B01A46">
        <w:rPr>
          <w:rFonts w:asciiTheme="majorHAnsi" w:eastAsiaTheme="minorEastAsia" w:hAnsiTheme="majorHAnsi" w:cs="Arial"/>
          <w:sz w:val="20"/>
          <w:szCs w:val="20"/>
          <w:lang w:val="en-GB"/>
        </w:rPr>
        <w:t>demonstrate</w:t>
      </w:r>
      <w:r w:rsidR="00BA76ED">
        <w:rPr>
          <w:rFonts w:asciiTheme="majorHAnsi" w:eastAsiaTheme="minorEastAsia" w:hAnsiTheme="majorHAnsi" w:cs="Arial"/>
          <w:sz w:val="20"/>
          <w:szCs w:val="20"/>
          <w:lang w:val="en-GB"/>
        </w:rPr>
        <w:t>d</w:t>
      </w:r>
      <w:r w:rsidR="00B01A46">
        <w:rPr>
          <w:rFonts w:asciiTheme="majorHAnsi" w:eastAsiaTheme="minorEastAsia" w:hAnsiTheme="majorHAnsi" w:cs="Arial"/>
          <w:sz w:val="20"/>
          <w:szCs w:val="20"/>
          <w:lang w:val="en-GB"/>
        </w:rPr>
        <w:t xml:space="preserve"> in terms of an</w:t>
      </w:r>
      <w:r w:rsidRPr="00180DFE">
        <w:rPr>
          <w:rFonts w:asciiTheme="majorHAnsi" w:eastAsiaTheme="minorEastAsia" w:hAnsiTheme="majorHAnsi" w:cs="Arial"/>
          <w:sz w:val="20"/>
          <w:szCs w:val="20"/>
          <w:lang w:val="en-GB"/>
        </w:rPr>
        <w:t xml:space="preserve"> empirical methodology, each </w:t>
      </w:r>
      <w:r w:rsidR="00872926">
        <w:rPr>
          <w:rFonts w:asciiTheme="majorHAnsi" w:eastAsiaTheme="minorEastAsia" w:hAnsiTheme="majorHAnsi" w:cs="Arial"/>
          <w:sz w:val="20"/>
          <w:szCs w:val="20"/>
          <w:lang w:val="en-GB"/>
        </w:rPr>
        <w:t>‘</w:t>
      </w:r>
      <w:r w:rsidRPr="00180DFE">
        <w:rPr>
          <w:rFonts w:asciiTheme="majorHAnsi" w:eastAsiaTheme="minorEastAsia" w:hAnsiTheme="majorHAnsi" w:cs="Arial"/>
          <w:sz w:val="20"/>
          <w:szCs w:val="20"/>
          <w:lang w:val="en-GB"/>
        </w:rPr>
        <w:t>column</w:t>
      </w:r>
      <w:r w:rsidR="00872926">
        <w:rPr>
          <w:rFonts w:asciiTheme="majorHAnsi" w:eastAsiaTheme="minorEastAsia" w:hAnsiTheme="majorHAnsi" w:cs="Arial"/>
          <w:sz w:val="20"/>
          <w:szCs w:val="20"/>
          <w:lang w:val="en-GB"/>
        </w:rPr>
        <w:t>’</w:t>
      </w:r>
      <w:r w:rsidRPr="00180DFE">
        <w:rPr>
          <w:rFonts w:asciiTheme="majorHAnsi" w:eastAsiaTheme="minorEastAsia" w:hAnsiTheme="majorHAnsi" w:cs="Arial"/>
          <w:sz w:val="20"/>
          <w:szCs w:val="20"/>
          <w:lang w:val="en-GB"/>
        </w:rPr>
        <w:t xml:space="preserve"> has as its foundation the data which is analysed by the investigators at each stage. This is synthesised and evaluated so as to create clearer understanding that allows the team to progress to the next stage.</w:t>
      </w:r>
    </w:p>
    <w:p w:rsidR="00180DFE" w:rsidRPr="00180DFE" w:rsidRDefault="00180DFE" w:rsidP="00A33BD8">
      <w:pPr>
        <w:ind w:firstLine="397"/>
        <w:jc w:val="both"/>
        <w:rPr>
          <w:rFonts w:asciiTheme="majorHAnsi" w:eastAsiaTheme="minorEastAsia" w:hAnsiTheme="majorHAnsi" w:cs="Arial"/>
          <w:sz w:val="20"/>
          <w:szCs w:val="20"/>
          <w:lang w:val="en-GB"/>
        </w:rPr>
      </w:pPr>
      <w:r w:rsidRPr="00180DFE">
        <w:rPr>
          <w:rFonts w:asciiTheme="majorHAnsi" w:eastAsiaTheme="minorEastAsia" w:hAnsiTheme="majorHAnsi" w:cs="Arial"/>
          <w:sz w:val="20"/>
          <w:szCs w:val="20"/>
          <w:lang w:val="en-GB"/>
        </w:rPr>
        <w:t>Broadly speaking,</w:t>
      </w:r>
      <w:r w:rsidR="00BA76ED">
        <w:rPr>
          <w:rFonts w:asciiTheme="majorHAnsi" w:eastAsiaTheme="minorEastAsia" w:hAnsiTheme="majorHAnsi" w:cs="Arial"/>
          <w:sz w:val="20"/>
          <w:szCs w:val="20"/>
          <w:lang w:val="en-GB"/>
        </w:rPr>
        <w:t xml:space="preserve"> the first </w:t>
      </w:r>
      <w:r w:rsidR="001A0CAE">
        <w:rPr>
          <w:rFonts w:asciiTheme="majorHAnsi" w:eastAsiaTheme="minorEastAsia" w:hAnsiTheme="majorHAnsi" w:cs="Arial"/>
          <w:sz w:val="20"/>
          <w:szCs w:val="20"/>
          <w:lang w:val="en-GB"/>
        </w:rPr>
        <w:t>three stages</w:t>
      </w:r>
      <w:r w:rsidR="00FE4588">
        <w:rPr>
          <w:rFonts w:asciiTheme="majorHAnsi" w:eastAsiaTheme="minorEastAsia" w:hAnsiTheme="majorHAnsi" w:cs="Arial"/>
          <w:sz w:val="20"/>
          <w:szCs w:val="20"/>
          <w:lang w:val="en-GB"/>
        </w:rPr>
        <w:t xml:space="preserve"> (TR</w:t>
      </w:r>
      <w:r>
        <w:rPr>
          <w:rFonts w:asciiTheme="majorHAnsi" w:eastAsiaTheme="minorEastAsia" w:hAnsiTheme="majorHAnsi" w:cs="Arial"/>
          <w:sz w:val="20"/>
          <w:szCs w:val="20"/>
          <w:lang w:val="en-GB"/>
        </w:rPr>
        <w:t>L1-3</w:t>
      </w:r>
      <w:r w:rsidRPr="00180DFE">
        <w:rPr>
          <w:rFonts w:asciiTheme="majorHAnsi" w:eastAsiaTheme="minorEastAsia" w:hAnsiTheme="majorHAnsi" w:cs="Arial"/>
          <w:sz w:val="20"/>
          <w:szCs w:val="20"/>
          <w:lang w:val="en-GB"/>
        </w:rPr>
        <w:t xml:space="preserve">) occur in the University environment. They lead </w:t>
      </w:r>
      <w:r w:rsidR="001A0CAE">
        <w:rPr>
          <w:rFonts w:asciiTheme="majorHAnsi" w:eastAsiaTheme="minorEastAsia" w:hAnsiTheme="majorHAnsi" w:cs="Arial"/>
          <w:sz w:val="20"/>
          <w:szCs w:val="20"/>
          <w:lang w:val="en-GB"/>
        </w:rPr>
        <w:t>from initial idea to design and testing for</w:t>
      </w:r>
      <w:r w:rsidRPr="00180DFE">
        <w:rPr>
          <w:rFonts w:asciiTheme="majorHAnsi" w:eastAsiaTheme="minorEastAsia" w:hAnsiTheme="majorHAnsi" w:cs="Arial"/>
          <w:sz w:val="20"/>
          <w:szCs w:val="20"/>
          <w:lang w:val="en-GB"/>
        </w:rPr>
        <w:t xml:space="preserve"> the initial </w:t>
      </w:r>
      <w:r w:rsidR="00BA76ED">
        <w:rPr>
          <w:rFonts w:asciiTheme="majorHAnsi" w:eastAsiaTheme="minorEastAsia" w:hAnsiTheme="majorHAnsi" w:cs="Arial"/>
          <w:sz w:val="20"/>
          <w:szCs w:val="20"/>
          <w:lang w:val="en-GB"/>
        </w:rPr>
        <w:t>‘P</w:t>
      </w:r>
      <w:r w:rsidRPr="00180DFE">
        <w:rPr>
          <w:rFonts w:asciiTheme="majorHAnsi" w:eastAsiaTheme="minorEastAsia" w:hAnsiTheme="majorHAnsi" w:cs="Arial"/>
          <w:sz w:val="20"/>
          <w:szCs w:val="20"/>
          <w:lang w:val="en-GB"/>
        </w:rPr>
        <w:t xml:space="preserve">roof </w:t>
      </w:r>
      <w:r w:rsidR="001A0CAE">
        <w:rPr>
          <w:rFonts w:asciiTheme="majorHAnsi" w:eastAsiaTheme="minorEastAsia" w:hAnsiTheme="majorHAnsi" w:cs="Arial"/>
          <w:sz w:val="20"/>
          <w:szCs w:val="20"/>
          <w:lang w:val="en-GB"/>
        </w:rPr>
        <w:t>of</w:t>
      </w:r>
      <w:r w:rsidR="00BA76ED">
        <w:rPr>
          <w:rFonts w:asciiTheme="majorHAnsi" w:eastAsiaTheme="minorEastAsia" w:hAnsiTheme="majorHAnsi" w:cs="Arial"/>
          <w:sz w:val="20"/>
          <w:szCs w:val="20"/>
          <w:lang w:val="en-GB"/>
        </w:rPr>
        <w:t xml:space="preserve"> C</w:t>
      </w:r>
      <w:r w:rsidRPr="00180DFE">
        <w:rPr>
          <w:rFonts w:asciiTheme="majorHAnsi" w:eastAsiaTheme="minorEastAsia" w:hAnsiTheme="majorHAnsi" w:cs="Arial"/>
          <w:sz w:val="20"/>
          <w:szCs w:val="20"/>
          <w:lang w:val="en-GB"/>
        </w:rPr>
        <w:t>oncept</w:t>
      </w:r>
      <w:r w:rsidR="00BA76ED">
        <w:rPr>
          <w:rFonts w:asciiTheme="majorHAnsi" w:eastAsiaTheme="minorEastAsia" w:hAnsiTheme="majorHAnsi" w:cs="Arial"/>
          <w:sz w:val="20"/>
          <w:szCs w:val="20"/>
          <w:lang w:val="en-GB"/>
        </w:rPr>
        <w:t>’ (POC)</w:t>
      </w:r>
      <w:r w:rsidRPr="00180DFE">
        <w:rPr>
          <w:rFonts w:asciiTheme="majorHAnsi" w:eastAsiaTheme="minorEastAsia" w:hAnsiTheme="majorHAnsi" w:cs="Arial"/>
          <w:sz w:val="20"/>
          <w:szCs w:val="20"/>
          <w:lang w:val="en-GB"/>
        </w:rPr>
        <w:t xml:space="preserve"> development</w:t>
      </w:r>
      <w:r w:rsidR="001A0CAE">
        <w:rPr>
          <w:rFonts w:asciiTheme="majorHAnsi" w:eastAsiaTheme="minorEastAsia" w:hAnsiTheme="majorHAnsi" w:cs="Arial"/>
          <w:sz w:val="20"/>
          <w:szCs w:val="20"/>
          <w:lang w:val="en-GB"/>
        </w:rPr>
        <w:t>.</w:t>
      </w:r>
      <w:r w:rsidRPr="00180DFE">
        <w:rPr>
          <w:rFonts w:asciiTheme="majorHAnsi" w:eastAsiaTheme="minorEastAsia" w:hAnsiTheme="majorHAnsi" w:cs="Arial"/>
          <w:sz w:val="20"/>
          <w:szCs w:val="20"/>
          <w:lang w:val="en-GB"/>
        </w:rPr>
        <w:t xml:space="preserve"> </w:t>
      </w:r>
      <w:r w:rsidR="001A0CAE">
        <w:rPr>
          <w:rFonts w:asciiTheme="majorHAnsi" w:eastAsiaTheme="minorEastAsia" w:hAnsiTheme="majorHAnsi" w:cs="Arial"/>
          <w:sz w:val="20"/>
          <w:szCs w:val="20"/>
          <w:lang w:val="en-GB"/>
        </w:rPr>
        <w:t>This</w:t>
      </w:r>
      <w:r w:rsidRPr="00180DFE">
        <w:rPr>
          <w:rFonts w:asciiTheme="majorHAnsi" w:eastAsiaTheme="minorEastAsia" w:hAnsiTheme="majorHAnsi" w:cs="Arial"/>
          <w:sz w:val="20"/>
          <w:szCs w:val="20"/>
          <w:lang w:val="en-GB"/>
        </w:rPr>
        <w:t xml:space="preserve"> creates many potential opportunities that can be taken forward</w:t>
      </w:r>
      <w:r w:rsidR="002E732B">
        <w:rPr>
          <w:rFonts w:asciiTheme="majorHAnsi" w:eastAsiaTheme="minorEastAsia" w:hAnsiTheme="majorHAnsi" w:cs="Arial"/>
          <w:sz w:val="20"/>
          <w:szCs w:val="20"/>
          <w:lang w:val="en-GB"/>
        </w:rPr>
        <w:t>,</w:t>
      </w:r>
      <w:r w:rsidRPr="00180DFE">
        <w:rPr>
          <w:rFonts w:asciiTheme="majorHAnsi" w:eastAsiaTheme="minorEastAsia" w:hAnsiTheme="majorHAnsi" w:cs="Arial"/>
          <w:sz w:val="20"/>
          <w:szCs w:val="20"/>
          <w:lang w:val="en-GB"/>
        </w:rPr>
        <w:t xml:space="preserve"> ultimately with a view to</w:t>
      </w:r>
      <w:r>
        <w:rPr>
          <w:rFonts w:asciiTheme="majorHAnsi" w:eastAsiaTheme="minorEastAsia" w:hAnsiTheme="majorHAnsi" w:cs="Arial"/>
          <w:sz w:val="20"/>
          <w:szCs w:val="20"/>
          <w:lang w:val="en-GB"/>
        </w:rPr>
        <w:t xml:space="preserve"> potential productis</w:t>
      </w:r>
      <w:r w:rsidR="00BA76ED">
        <w:rPr>
          <w:rFonts w:asciiTheme="majorHAnsi" w:eastAsiaTheme="minorEastAsia" w:hAnsiTheme="majorHAnsi" w:cs="Arial"/>
          <w:sz w:val="20"/>
          <w:szCs w:val="20"/>
          <w:lang w:val="en-GB"/>
        </w:rPr>
        <w:t>ation</w:t>
      </w:r>
      <w:r w:rsidRPr="00180DFE">
        <w:rPr>
          <w:rFonts w:asciiTheme="majorHAnsi" w:eastAsiaTheme="minorEastAsia" w:hAnsiTheme="majorHAnsi" w:cs="Arial"/>
          <w:sz w:val="20"/>
          <w:szCs w:val="20"/>
          <w:lang w:val="en-GB"/>
        </w:rPr>
        <w:t xml:space="preserve">. The next three </w:t>
      </w:r>
      <w:r>
        <w:rPr>
          <w:rFonts w:asciiTheme="majorHAnsi" w:eastAsiaTheme="minorEastAsia" w:hAnsiTheme="majorHAnsi" w:cs="Arial"/>
          <w:sz w:val="20"/>
          <w:szCs w:val="20"/>
          <w:lang w:val="en-GB"/>
        </w:rPr>
        <w:t>technology readiness levels (TR</w:t>
      </w:r>
      <w:r w:rsidR="001A0CAE">
        <w:rPr>
          <w:rFonts w:asciiTheme="majorHAnsi" w:eastAsiaTheme="minorEastAsia" w:hAnsiTheme="majorHAnsi" w:cs="Arial"/>
          <w:sz w:val="20"/>
          <w:szCs w:val="20"/>
          <w:lang w:val="en-GB"/>
        </w:rPr>
        <w:t>L4</w:t>
      </w:r>
      <w:r w:rsidRPr="00180DFE">
        <w:rPr>
          <w:rFonts w:asciiTheme="majorHAnsi" w:eastAsiaTheme="minorEastAsia" w:hAnsiTheme="majorHAnsi" w:cs="Arial"/>
          <w:sz w:val="20"/>
          <w:szCs w:val="20"/>
          <w:lang w:val="en-GB"/>
        </w:rPr>
        <w:t>-</w:t>
      </w:r>
      <w:r>
        <w:rPr>
          <w:rFonts w:asciiTheme="majorHAnsi" w:eastAsiaTheme="minorEastAsia" w:hAnsiTheme="majorHAnsi" w:cs="Arial"/>
          <w:sz w:val="20"/>
          <w:szCs w:val="20"/>
          <w:lang w:val="en-GB"/>
        </w:rPr>
        <w:t>6</w:t>
      </w:r>
      <w:r w:rsidRPr="00180DFE">
        <w:rPr>
          <w:rFonts w:asciiTheme="majorHAnsi" w:eastAsiaTheme="minorEastAsia" w:hAnsiTheme="majorHAnsi" w:cs="Arial"/>
          <w:sz w:val="20"/>
          <w:szCs w:val="20"/>
          <w:lang w:val="en-GB"/>
        </w:rPr>
        <w:t>) tak</w:t>
      </w:r>
      <w:r w:rsidR="002E732B">
        <w:rPr>
          <w:rFonts w:asciiTheme="majorHAnsi" w:eastAsiaTheme="minorEastAsia" w:hAnsiTheme="majorHAnsi" w:cs="Arial"/>
          <w:sz w:val="20"/>
          <w:szCs w:val="20"/>
          <w:lang w:val="en-GB"/>
        </w:rPr>
        <w:t>e</w:t>
      </w:r>
      <w:r w:rsidRPr="00180DFE">
        <w:rPr>
          <w:rFonts w:asciiTheme="majorHAnsi" w:eastAsiaTheme="minorEastAsia" w:hAnsiTheme="majorHAnsi" w:cs="Arial"/>
          <w:sz w:val="20"/>
          <w:szCs w:val="20"/>
          <w:lang w:val="en-GB"/>
        </w:rPr>
        <w:t xml:space="preserve"> the initial proof of </w:t>
      </w:r>
      <w:r w:rsidR="00E049B6" w:rsidRPr="00180DFE">
        <w:rPr>
          <w:rFonts w:asciiTheme="majorHAnsi" w:eastAsiaTheme="minorEastAsia" w:hAnsiTheme="majorHAnsi" w:cs="Arial"/>
          <w:sz w:val="20"/>
          <w:szCs w:val="20"/>
          <w:lang w:val="en-GB"/>
        </w:rPr>
        <w:t>concept;</w:t>
      </w:r>
      <w:r w:rsidRPr="00180DFE">
        <w:rPr>
          <w:rFonts w:asciiTheme="majorHAnsi" w:eastAsiaTheme="minorEastAsia" w:hAnsiTheme="majorHAnsi" w:cs="Arial"/>
          <w:sz w:val="20"/>
          <w:szCs w:val="20"/>
          <w:lang w:val="en-GB"/>
        </w:rPr>
        <w:t xml:space="preserve"> build demonstrations</w:t>
      </w:r>
      <w:r w:rsidR="00872926">
        <w:rPr>
          <w:rFonts w:asciiTheme="majorHAnsi" w:eastAsiaTheme="minorEastAsia" w:hAnsiTheme="majorHAnsi" w:cs="Arial"/>
          <w:sz w:val="20"/>
          <w:szCs w:val="20"/>
          <w:lang w:val="en-GB"/>
        </w:rPr>
        <w:t>,</w:t>
      </w:r>
      <w:r w:rsidRPr="00180DFE">
        <w:rPr>
          <w:rFonts w:asciiTheme="majorHAnsi" w:eastAsiaTheme="minorEastAsia" w:hAnsiTheme="majorHAnsi" w:cs="Arial"/>
          <w:sz w:val="20"/>
          <w:szCs w:val="20"/>
          <w:lang w:val="en-GB"/>
        </w:rPr>
        <w:t xml:space="preserve"> for testing</w:t>
      </w:r>
      <w:r w:rsidR="00BA76ED">
        <w:rPr>
          <w:rFonts w:asciiTheme="majorHAnsi" w:eastAsiaTheme="minorEastAsia" w:hAnsiTheme="majorHAnsi" w:cs="Arial"/>
          <w:sz w:val="20"/>
          <w:szCs w:val="20"/>
          <w:lang w:val="en-GB"/>
        </w:rPr>
        <w:t xml:space="preserve"> and validation </w:t>
      </w:r>
      <w:r w:rsidR="002E732B">
        <w:rPr>
          <w:rFonts w:asciiTheme="majorHAnsi" w:eastAsiaTheme="minorEastAsia" w:hAnsiTheme="majorHAnsi" w:cs="Arial"/>
          <w:sz w:val="20"/>
          <w:szCs w:val="20"/>
          <w:lang w:val="en-GB"/>
        </w:rPr>
        <w:t>using</w:t>
      </w:r>
      <w:r w:rsidR="00BA76ED">
        <w:rPr>
          <w:rFonts w:asciiTheme="majorHAnsi" w:eastAsiaTheme="minorEastAsia" w:hAnsiTheme="majorHAnsi" w:cs="Arial"/>
          <w:sz w:val="20"/>
          <w:szCs w:val="20"/>
          <w:lang w:val="en-GB"/>
        </w:rPr>
        <w:t xml:space="preserve"> </w:t>
      </w:r>
      <w:r w:rsidR="00E049B6">
        <w:rPr>
          <w:rFonts w:asciiTheme="majorHAnsi" w:eastAsiaTheme="minorEastAsia" w:hAnsiTheme="majorHAnsi" w:cs="Arial"/>
          <w:sz w:val="20"/>
          <w:szCs w:val="20"/>
          <w:lang w:val="en-GB"/>
        </w:rPr>
        <w:t>appropriate</w:t>
      </w:r>
      <w:r w:rsidR="00BA76ED">
        <w:rPr>
          <w:rFonts w:asciiTheme="majorHAnsi" w:eastAsiaTheme="minorEastAsia" w:hAnsiTheme="majorHAnsi" w:cs="Arial"/>
          <w:sz w:val="20"/>
          <w:szCs w:val="20"/>
          <w:lang w:val="en-GB"/>
        </w:rPr>
        <w:t xml:space="preserve"> </w:t>
      </w:r>
      <w:r w:rsidR="00E049B6">
        <w:rPr>
          <w:rFonts w:asciiTheme="majorHAnsi" w:eastAsiaTheme="minorEastAsia" w:hAnsiTheme="majorHAnsi" w:cs="Arial"/>
          <w:sz w:val="20"/>
          <w:szCs w:val="20"/>
          <w:lang w:val="en-GB"/>
        </w:rPr>
        <w:t>scenarios</w:t>
      </w:r>
      <w:r w:rsidR="00BA76ED">
        <w:rPr>
          <w:rFonts w:asciiTheme="majorHAnsi" w:eastAsiaTheme="minorEastAsia" w:hAnsiTheme="majorHAnsi" w:cs="Arial"/>
          <w:sz w:val="20"/>
          <w:szCs w:val="20"/>
          <w:lang w:val="en-GB"/>
        </w:rPr>
        <w:t xml:space="preserve"> and environments. In the case of biologically interactive technologies (</w:t>
      </w:r>
      <w:r w:rsidR="002E732B">
        <w:rPr>
          <w:rFonts w:asciiTheme="majorHAnsi" w:eastAsiaTheme="minorEastAsia" w:hAnsiTheme="majorHAnsi" w:cs="Arial"/>
          <w:sz w:val="20"/>
          <w:szCs w:val="20"/>
          <w:lang w:val="en-GB"/>
        </w:rPr>
        <w:t>C</w:t>
      </w:r>
      <w:r w:rsidR="002E732B" w:rsidRPr="00180DFE">
        <w:rPr>
          <w:rFonts w:asciiTheme="majorHAnsi" w:eastAsiaTheme="minorEastAsia" w:hAnsiTheme="majorHAnsi" w:cs="Arial"/>
          <w:sz w:val="20"/>
          <w:szCs w:val="20"/>
          <w:lang w:val="en-GB"/>
        </w:rPr>
        <w:t xml:space="preserve">linical </w:t>
      </w:r>
      <w:r w:rsidR="002E732B">
        <w:rPr>
          <w:rFonts w:asciiTheme="majorHAnsi" w:eastAsiaTheme="minorEastAsia" w:hAnsiTheme="majorHAnsi" w:cs="Arial"/>
          <w:sz w:val="20"/>
          <w:szCs w:val="20"/>
          <w:lang w:val="en-GB"/>
        </w:rPr>
        <w:t>T</w:t>
      </w:r>
      <w:r w:rsidR="002E732B" w:rsidRPr="00180DFE">
        <w:rPr>
          <w:rFonts w:asciiTheme="majorHAnsi" w:eastAsiaTheme="minorEastAsia" w:hAnsiTheme="majorHAnsi" w:cs="Arial"/>
          <w:sz w:val="20"/>
          <w:szCs w:val="20"/>
          <w:lang w:val="en-GB"/>
        </w:rPr>
        <w:t>rial</w:t>
      </w:r>
      <w:r w:rsidR="002E732B">
        <w:rPr>
          <w:rFonts w:asciiTheme="majorHAnsi" w:eastAsiaTheme="minorEastAsia" w:hAnsiTheme="majorHAnsi" w:cs="Arial"/>
          <w:sz w:val="20"/>
          <w:szCs w:val="20"/>
          <w:lang w:val="en-GB"/>
        </w:rPr>
        <w:t>s</w:t>
      </w:r>
      <w:r w:rsidR="002E732B" w:rsidRPr="00180DFE">
        <w:rPr>
          <w:rFonts w:asciiTheme="majorHAnsi" w:eastAsiaTheme="minorEastAsia" w:hAnsiTheme="majorHAnsi" w:cs="Arial"/>
          <w:sz w:val="20"/>
          <w:szCs w:val="20"/>
          <w:lang w:val="en-GB"/>
        </w:rPr>
        <w:t xml:space="preserve"> of </w:t>
      </w:r>
      <w:r w:rsidR="002E732B">
        <w:rPr>
          <w:rFonts w:asciiTheme="majorHAnsi" w:eastAsiaTheme="minorEastAsia" w:hAnsiTheme="majorHAnsi" w:cs="Arial"/>
          <w:sz w:val="20"/>
          <w:szCs w:val="20"/>
          <w:lang w:val="en-GB"/>
        </w:rPr>
        <w:t>Investigational Medicinal P</w:t>
      </w:r>
      <w:r w:rsidR="002E732B" w:rsidRPr="00180DFE">
        <w:rPr>
          <w:rFonts w:asciiTheme="majorHAnsi" w:eastAsiaTheme="minorEastAsia" w:hAnsiTheme="majorHAnsi" w:cs="Arial"/>
          <w:sz w:val="20"/>
          <w:szCs w:val="20"/>
          <w:lang w:val="en-GB"/>
        </w:rPr>
        <w:t>roducts</w:t>
      </w:r>
      <w:r w:rsidR="002E732B">
        <w:rPr>
          <w:rFonts w:asciiTheme="majorHAnsi" w:eastAsiaTheme="minorEastAsia" w:hAnsiTheme="majorHAnsi" w:cs="Arial"/>
          <w:sz w:val="20"/>
          <w:szCs w:val="20"/>
          <w:lang w:val="en-GB"/>
        </w:rPr>
        <w:t xml:space="preserve"> - </w:t>
      </w:r>
      <w:r w:rsidR="00BA76ED">
        <w:rPr>
          <w:rFonts w:asciiTheme="majorHAnsi" w:eastAsiaTheme="minorEastAsia" w:hAnsiTheme="majorHAnsi" w:cs="Arial"/>
          <w:sz w:val="20"/>
          <w:szCs w:val="20"/>
          <w:lang w:val="en-GB"/>
        </w:rPr>
        <w:t xml:space="preserve">CTIMP and </w:t>
      </w:r>
      <w:r w:rsidR="002E732B">
        <w:rPr>
          <w:rFonts w:asciiTheme="majorHAnsi" w:eastAsiaTheme="minorEastAsia" w:hAnsiTheme="majorHAnsi" w:cs="Arial"/>
          <w:sz w:val="20"/>
          <w:szCs w:val="20"/>
          <w:lang w:val="en-GB"/>
        </w:rPr>
        <w:t xml:space="preserve">Advanced Therapeutic Medicinal Products - </w:t>
      </w:r>
      <w:r w:rsidR="00BA76ED">
        <w:rPr>
          <w:rFonts w:asciiTheme="majorHAnsi" w:eastAsiaTheme="minorEastAsia" w:hAnsiTheme="majorHAnsi" w:cs="Arial"/>
          <w:sz w:val="20"/>
          <w:szCs w:val="20"/>
          <w:lang w:val="en-GB"/>
        </w:rPr>
        <w:t xml:space="preserve">ATMP), the ‘pipe’ has clearly defined animal </w:t>
      </w:r>
      <w:r w:rsidR="00872926">
        <w:rPr>
          <w:rFonts w:asciiTheme="majorHAnsi" w:eastAsiaTheme="minorEastAsia" w:hAnsiTheme="majorHAnsi" w:cs="Arial"/>
          <w:sz w:val="20"/>
          <w:szCs w:val="20"/>
          <w:lang w:val="en-GB"/>
        </w:rPr>
        <w:t>models followed by P</w:t>
      </w:r>
      <w:r w:rsidR="00BA76ED">
        <w:rPr>
          <w:rFonts w:asciiTheme="majorHAnsi" w:eastAsiaTheme="minorEastAsia" w:hAnsiTheme="majorHAnsi" w:cs="Arial"/>
          <w:sz w:val="20"/>
          <w:szCs w:val="20"/>
          <w:lang w:val="en-GB"/>
        </w:rPr>
        <w:t>ha</w:t>
      </w:r>
      <w:r w:rsidR="00872926">
        <w:rPr>
          <w:rFonts w:asciiTheme="majorHAnsi" w:eastAsiaTheme="minorEastAsia" w:hAnsiTheme="majorHAnsi" w:cs="Arial"/>
          <w:sz w:val="20"/>
          <w:szCs w:val="20"/>
          <w:lang w:val="en-GB"/>
        </w:rPr>
        <w:t>s</w:t>
      </w:r>
      <w:r w:rsidR="00BA76ED">
        <w:rPr>
          <w:rFonts w:asciiTheme="majorHAnsi" w:eastAsiaTheme="minorEastAsia" w:hAnsiTheme="majorHAnsi" w:cs="Arial"/>
          <w:sz w:val="20"/>
          <w:szCs w:val="20"/>
          <w:lang w:val="en-GB"/>
        </w:rPr>
        <w:t>e I (first in</w:t>
      </w:r>
      <w:r w:rsidR="00872926">
        <w:rPr>
          <w:rFonts w:asciiTheme="majorHAnsi" w:eastAsiaTheme="minorEastAsia" w:hAnsiTheme="majorHAnsi" w:cs="Arial"/>
          <w:sz w:val="20"/>
          <w:szCs w:val="20"/>
          <w:lang w:val="en-GB"/>
        </w:rPr>
        <w:t xml:space="preserve"> humans)</w:t>
      </w:r>
      <w:r w:rsidR="00A33BD8">
        <w:rPr>
          <w:rFonts w:asciiTheme="majorHAnsi" w:eastAsiaTheme="minorEastAsia" w:hAnsiTheme="majorHAnsi" w:cs="Arial"/>
          <w:sz w:val="20"/>
          <w:szCs w:val="20"/>
          <w:lang w:val="en-GB"/>
        </w:rPr>
        <w:t>, P</w:t>
      </w:r>
      <w:r w:rsidR="00BA76ED">
        <w:rPr>
          <w:rFonts w:asciiTheme="majorHAnsi" w:eastAsiaTheme="minorEastAsia" w:hAnsiTheme="majorHAnsi" w:cs="Arial"/>
          <w:sz w:val="20"/>
          <w:szCs w:val="20"/>
          <w:lang w:val="en-GB"/>
        </w:rPr>
        <w:t xml:space="preserve">hase II (safety and efficiency) and </w:t>
      </w:r>
      <w:r w:rsidR="00A33BD8">
        <w:rPr>
          <w:rFonts w:asciiTheme="majorHAnsi" w:eastAsiaTheme="minorEastAsia" w:hAnsiTheme="majorHAnsi" w:cs="Arial"/>
          <w:sz w:val="20"/>
          <w:szCs w:val="20"/>
          <w:lang w:val="en-GB"/>
        </w:rPr>
        <w:t>P</w:t>
      </w:r>
      <w:r w:rsidR="00BA76ED">
        <w:rPr>
          <w:rFonts w:asciiTheme="majorHAnsi" w:eastAsiaTheme="minorEastAsia" w:hAnsiTheme="majorHAnsi" w:cs="Arial"/>
          <w:sz w:val="20"/>
          <w:szCs w:val="20"/>
          <w:lang w:val="en-GB"/>
        </w:rPr>
        <w:t>hase III (clinical effectiveness)</w:t>
      </w:r>
      <w:r w:rsidR="00A33BD8">
        <w:rPr>
          <w:rFonts w:asciiTheme="majorHAnsi" w:eastAsiaTheme="minorEastAsia" w:hAnsiTheme="majorHAnsi" w:cs="Arial"/>
          <w:sz w:val="20"/>
          <w:szCs w:val="20"/>
          <w:lang w:val="en-GB"/>
        </w:rPr>
        <w:t xml:space="preserve"> trials</w:t>
      </w:r>
      <w:r w:rsidRPr="00180DFE">
        <w:rPr>
          <w:rFonts w:asciiTheme="majorHAnsi" w:eastAsiaTheme="minorEastAsia" w:hAnsiTheme="majorHAnsi" w:cs="Arial"/>
          <w:sz w:val="20"/>
          <w:szCs w:val="20"/>
          <w:lang w:val="en-GB"/>
        </w:rPr>
        <w:t>.</w:t>
      </w:r>
      <w:r w:rsidR="002E732B">
        <w:rPr>
          <w:rFonts w:asciiTheme="majorHAnsi" w:eastAsiaTheme="minorEastAsia" w:hAnsiTheme="majorHAnsi" w:cs="Arial"/>
          <w:sz w:val="20"/>
          <w:szCs w:val="20"/>
          <w:lang w:val="en-GB"/>
        </w:rPr>
        <w:t xml:space="preserve"> A similar approach for implantable devices is inevitable in the future</w:t>
      </w:r>
      <w:r w:rsidR="00FB6AB4">
        <w:rPr>
          <w:rFonts w:asciiTheme="majorHAnsi" w:eastAsiaTheme="minorEastAsia" w:hAnsiTheme="majorHAnsi" w:cs="Arial"/>
          <w:sz w:val="20"/>
          <w:szCs w:val="20"/>
          <w:lang w:val="en-GB"/>
        </w:rPr>
        <w:t>,</w:t>
      </w:r>
      <w:r w:rsidR="002E732B">
        <w:rPr>
          <w:rFonts w:asciiTheme="majorHAnsi" w:eastAsiaTheme="minorEastAsia" w:hAnsiTheme="majorHAnsi" w:cs="Arial"/>
          <w:sz w:val="20"/>
          <w:szCs w:val="20"/>
          <w:lang w:val="en-GB"/>
        </w:rPr>
        <w:t xml:space="preserve"> even if presently </w:t>
      </w:r>
      <w:r w:rsidR="00FB6AB4">
        <w:rPr>
          <w:rFonts w:asciiTheme="majorHAnsi" w:eastAsiaTheme="minorEastAsia" w:hAnsiTheme="majorHAnsi" w:cs="Arial"/>
          <w:sz w:val="20"/>
          <w:szCs w:val="20"/>
          <w:lang w:val="en-GB"/>
        </w:rPr>
        <w:t xml:space="preserve">not </w:t>
      </w:r>
      <w:r w:rsidR="002E732B">
        <w:rPr>
          <w:rFonts w:asciiTheme="majorHAnsi" w:eastAsiaTheme="minorEastAsia" w:hAnsiTheme="majorHAnsi" w:cs="Arial"/>
          <w:sz w:val="20"/>
          <w:szCs w:val="20"/>
          <w:lang w:val="en-GB"/>
        </w:rPr>
        <w:t>regulated for.</w:t>
      </w:r>
    </w:p>
    <w:p w:rsidR="00180DFE" w:rsidRPr="00180DFE" w:rsidRDefault="00180DFE" w:rsidP="00ED3C60">
      <w:pPr>
        <w:ind w:firstLine="397"/>
        <w:jc w:val="both"/>
        <w:rPr>
          <w:rFonts w:asciiTheme="majorHAnsi" w:eastAsiaTheme="minorEastAsia" w:hAnsiTheme="majorHAnsi" w:cs="Arial"/>
          <w:sz w:val="20"/>
          <w:szCs w:val="20"/>
          <w:lang w:val="en-GB"/>
        </w:rPr>
      </w:pPr>
      <w:r w:rsidRPr="00180DFE">
        <w:rPr>
          <w:rFonts w:asciiTheme="majorHAnsi" w:eastAsiaTheme="minorEastAsia" w:hAnsiTheme="majorHAnsi" w:cs="Arial"/>
          <w:sz w:val="20"/>
          <w:szCs w:val="20"/>
          <w:lang w:val="en-GB"/>
        </w:rPr>
        <w:t xml:space="preserve">This process </w:t>
      </w:r>
      <w:r w:rsidR="00BA76ED" w:rsidRPr="00180DFE">
        <w:rPr>
          <w:rFonts w:asciiTheme="majorHAnsi" w:eastAsiaTheme="minorEastAsia" w:hAnsiTheme="majorHAnsi" w:cs="Arial"/>
          <w:sz w:val="20"/>
          <w:szCs w:val="20"/>
          <w:lang w:val="en-GB"/>
        </w:rPr>
        <w:t xml:space="preserve">will </w:t>
      </w:r>
      <w:r w:rsidRPr="00180DFE">
        <w:rPr>
          <w:rFonts w:asciiTheme="majorHAnsi" w:eastAsiaTheme="minorEastAsia" w:hAnsiTheme="majorHAnsi" w:cs="Arial"/>
          <w:sz w:val="20"/>
          <w:szCs w:val="20"/>
          <w:lang w:val="en-GB"/>
        </w:rPr>
        <w:t>therefore go f</w:t>
      </w:r>
      <w:r w:rsidR="00A33BD8">
        <w:rPr>
          <w:rFonts w:asciiTheme="majorHAnsi" w:eastAsiaTheme="minorEastAsia" w:hAnsiTheme="majorHAnsi" w:cs="Arial"/>
          <w:sz w:val="20"/>
          <w:szCs w:val="20"/>
          <w:lang w:val="en-GB"/>
        </w:rPr>
        <w:t xml:space="preserve">rom the theoretical methodological </w:t>
      </w:r>
      <w:r w:rsidRPr="00180DFE">
        <w:rPr>
          <w:rFonts w:asciiTheme="majorHAnsi" w:eastAsiaTheme="minorEastAsia" w:hAnsiTheme="majorHAnsi" w:cs="Arial"/>
          <w:sz w:val="20"/>
          <w:szCs w:val="20"/>
          <w:lang w:val="en-GB"/>
        </w:rPr>
        <w:t>preparation stage of protocol generation through to a practical application evaluation stage</w:t>
      </w:r>
      <w:r w:rsidR="002E732B">
        <w:rPr>
          <w:rFonts w:asciiTheme="majorHAnsi" w:eastAsiaTheme="minorEastAsia" w:hAnsiTheme="majorHAnsi" w:cs="Arial"/>
          <w:sz w:val="20"/>
          <w:szCs w:val="20"/>
          <w:lang w:val="en-GB"/>
        </w:rPr>
        <w:t>,</w:t>
      </w:r>
      <w:r w:rsidRPr="00180DFE">
        <w:rPr>
          <w:rFonts w:asciiTheme="majorHAnsi" w:eastAsiaTheme="minorEastAsia" w:hAnsiTheme="majorHAnsi" w:cs="Arial"/>
          <w:sz w:val="20"/>
          <w:szCs w:val="20"/>
          <w:lang w:val="en-GB"/>
        </w:rPr>
        <w:t xml:space="preserve"> such as the clinical study or formal testing</w:t>
      </w:r>
      <w:r w:rsidR="00BA76ED">
        <w:rPr>
          <w:rFonts w:asciiTheme="majorHAnsi" w:eastAsiaTheme="minorEastAsia" w:hAnsiTheme="majorHAnsi" w:cs="Arial"/>
          <w:sz w:val="20"/>
          <w:szCs w:val="20"/>
          <w:lang w:val="en-GB"/>
        </w:rPr>
        <w:t>,</w:t>
      </w:r>
      <w:r w:rsidRPr="00180DFE">
        <w:rPr>
          <w:rFonts w:asciiTheme="majorHAnsi" w:eastAsiaTheme="minorEastAsia" w:hAnsiTheme="majorHAnsi" w:cs="Arial"/>
          <w:sz w:val="20"/>
          <w:szCs w:val="20"/>
          <w:lang w:val="en-GB"/>
        </w:rPr>
        <w:t xml:space="preserve"> as is the case with software development.</w:t>
      </w:r>
    </w:p>
    <w:p w:rsidR="00180DFE" w:rsidRPr="00180DFE" w:rsidRDefault="00BA76ED" w:rsidP="00ED3C60">
      <w:pPr>
        <w:ind w:firstLine="397"/>
        <w:jc w:val="both"/>
        <w:rPr>
          <w:rFonts w:asciiTheme="majorHAnsi" w:eastAsiaTheme="minorEastAsia" w:hAnsiTheme="majorHAnsi" w:cs="Arial"/>
          <w:sz w:val="20"/>
          <w:szCs w:val="20"/>
          <w:lang w:val="en-GB"/>
        </w:rPr>
      </w:pPr>
      <w:r>
        <w:rPr>
          <w:rFonts w:asciiTheme="majorHAnsi" w:eastAsiaTheme="minorEastAsia" w:hAnsiTheme="majorHAnsi" w:cs="Arial"/>
          <w:sz w:val="20"/>
          <w:szCs w:val="20"/>
          <w:lang w:val="en-GB"/>
        </w:rPr>
        <w:t xml:space="preserve">Transitioning from TRL6 </w:t>
      </w:r>
      <w:r w:rsidR="00180DFE" w:rsidRPr="00180DFE">
        <w:rPr>
          <w:rFonts w:asciiTheme="majorHAnsi" w:eastAsiaTheme="minorEastAsia" w:hAnsiTheme="majorHAnsi" w:cs="Arial"/>
          <w:sz w:val="20"/>
          <w:szCs w:val="20"/>
          <w:lang w:val="en-GB"/>
        </w:rPr>
        <w:t xml:space="preserve">to </w:t>
      </w:r>
      <w:r w:rsidR="00A91163" w:rsidRPr="00180DFE">
        <w:rPr>
          <w:rFonts w:asciiTheme="majorHAnsi" w:eastAsiaTheme="minorEastAsia" w:hAnsiTheme="majorHAnsi" w:cs="Arial"/>
          <w:sz w:val="20"/>
          <w:szCs w:val="20"/>
          <w:lang w:val="en-GB"/>
        </w:rPr>
        <w:t>7</w:t>
      </w:r>
      <w:r w:rsidR="00180DFE" w:rsidRPr="00180DFE">
        <w:rPr>
          <w:rFonts w:asciiTheme="majorHAnsi" w:eastAsiaTheme="minorEastAsia" w:hAnsiTheme="majorHAnsi" w:cs="Arial"/>
          <w:sz w:val="20"/>
          <w:szCs w:val="20"/>
          <w:lang w:val="en-GB"/>
        </w:rPr>
        <w:t xml:space="preserve"> ensures that new system components </w:t>
      </w:r>
      <w:r w:rsidR="00A91163">
        <w:rPr>
          <w:rFonts w:asciiTheme="majorHAnsi" w:eastAsiaTheme="minorEastAsia" w:hAnsiTheme="majorHAnsi" w:cs="Arial"/>
          <w:sz w:val="20"/>
          <w:szCs w:val="20"/>
          <w:lang w:val="en-GB"/>
        </w:rPr>
        <w:t>are</w:t>
      </w:r>
      <w:r w:rsidR="00180DFE" w:rsidRPr="00180DFE">
        <w:rPr>
          <w:rFonts w:asciiTheme="majorHAnsi" w:eastAsiaTheme="minorEastAsia" w:hAnsiTheme="majorHAnsi" w:cs="Arial"/>
          <w:sz w:val="20"/>
          <w:szCs w:val="20"/>
          <w:lang w:val="en-GB"/>
        </w:rPr>
        <w:t xml:space="preserve"> integrat</w:t>
      </w:r>
      <w:r w:rsidR="00A91163">
        <w:rPr>
          <w:rFonts w:asciiTheme="majorHAnsi" w:eastAsiaTheme="minorEastAsia" w:hAnsiTheme="majorHAnsi" w:cs="Arial"/>
          <w:sz w:val="20"/>
          <w:szCs w:val="20"/>
          <w:lang w:val="en-GB"/>
        </w:rPr>
        <w:t>able</w:t>
      </w:r>
      <w:r w:rsidR="00180DFE" w:rsidRPr="00180DFE">
        <w:rPr>
          <w:rFonts w:asciiTheme="majorHAnsi" w:eastAsiaTheme="minorEastAsia" w:hAnsiTheme="majorHAnsi" w:cs="Arial"/>
          <w:sz w:val="20"/>
          <w:szCs w:val="20"/>
          <w:lang w:val="en-GB"/>
        </w:rPr>
        <w:t xml:space="preserve"> into a </w:t>
      </w:r>
      <w:r w:rsidR="00A91163">
        <w:rPr>
          <w:rFonts w:asciiTheme="majorHAnsi" w:eastAsiaTheme="minorEastAsia" w:hAnsiTheme="majorHAnsi" w:cs="Arial"/>
          <w:sz w:val="20"/>
          <w:szCs w:val="20"/>
          <w:lang w:val="en-GB"/>
        </w:rPr>
        <w:t>‘</w:t>
      </w:r>
      <w:r w:rsidR="00180DFE" w:rsidRPr="00180DFE">
        <w:rPr>
          <w:rFonts w:asciiTheme="majorHAnsi" w:eastAsiaTheme="minorEastAsia" w:hAnsiTheme="majorHAnsi" w:cs="Arial"/>
          <w:sz w:val="20"/>
          <w:szCs w:val="20"/>
          <w:lang w:val="en-GB"/>
        </w:rPr>
        <w:t>real-world</w:t>
      </w:r>
      <w:r w:rsidR="00A91163">
        <w:rPr>
          <w:rFonts w:asciiTheme="majorHAnsi" w:eastAsiaTheme="minorEastAsia" w:hAnsiTheme="majorHAnsi" w:cs="Arial"/>
          <w:sz w:val="20"/>
          <w:szCs w:val="20"/>
          <w:lang w:val="en-GB"/>
        </w:rPr>
        <w:t>’</w:t>
      </w:r>
      <w:r w:rsidR="00180DFE" w:rsidRPr="00180DFE">
        <w:rPr>
          <w:rFonts w:asciiTheme="majorHAnsi" w:eastAsiaTheme="minorEastAsia" w:hAnsiTheme="majorHAnsi" w:cs="Arial"/>
          <w:sz w:val="20"/>
          <w:szCs w:val="20"/>
          <w:lang w:val="en-GB"/>
        </w:rPr>
        <w:t xml:space="preserve"> working en</w:t>
      </w:r>
      <w:r w:rsidR="00FE4588">
        <w:rPr>
          <w:rFonts w:asciiTheme="majorHAnsi" w:eastAsiaTheme="minorEastAsia" w:hAnsiTheme="majorHAnsi" w:cs="Arial"/>
          <w:sz w:val="20"/>
          <w:szCs w:val="20"/>
          <w:lang w:val="en-GB"/>
        </w:rPr>
        <w:t>vironment, and again through TR</w:t>
      </w:r>
      <w:r w:rsidR="00180DFE" w:rsidRPr="00180DFE">
        <w:rPr>
          <w:rFonts w:asciiTheme="majorHAnsi" w:eastAsiaTheme="minorEastAsia" w:hAnsiTheme="majorHAnsi" w:cs="Arial"/>
          <w:sz w:val="20"/>
          <w:szCs w:val="20"/>
          <w:lang w:val="en-GB"/>
        </w:rPr>
        <w:t xml:space="preserve">L8, there is likely to be a formal evaluation stage. This may be </w:t>
      </w:r>
      <w:r w:rsidR="00A91163">
        <w:rPr>
          <w:rFonts w:asciiTheme="majorHAnsi" w:eastAsiaTheme="minorEastAsia" w:hAnsiTheme="majorHAnsi" w:cs="Arial"/>
          <w:sz w:val="20"/>
          <w:szCs w:val="20"/>
          <w:lang w:val="en-GB"/>
        </w:rPr>
        <w:t>through H</w:t>
      </w:r>
      <w:r w:rsidR="00180DFE" w:rsidRPr="00180DFE">
        <w:rPr>
          <w:rFonts w:asciiTheme="majorHAnsi" w:eastAsiaTheme="minorEastAsia" w:hAnsiTheme="majorHAnsi" w:cs="Arial"/>
          <w:sz w:val="20"/>
          <w:szCs w:val="20"/>
          <w:lang w:val="en-GB"/>
        </w:rPr>
        <w:t xml:space="preserve">ealth </w:t>
      </w:r>
      <w:r w:rsidR="00A91163">
        <w:rPr>
          <w:rFonts w:asciiTheme="majorHAnsi" w:eastAsiaTheme="minorEastAsia" w:hAnsiTheme="majorHAnsi" w:cs="Arial"/>
          <w:sz w:val="20"/>
          <w:szCs w:val="20"/>
          <w:lang w:val="en-GB"/>
        </w:rPr>
        <w:t>T</w:t>
      </w:r>
      <w:r w:rsidR="00180DFE" w:rsidRPr="00180DFE">
        <w:rPr>
          <w:rFonts w:asciiTheme="majorHAnsi" w:eastAsiaTheme="minorEastAsia" w:hAnsiTheme="majorHAnsi" w:cs="Arial"/>
          <w:sz w:val="20"/>
          <w:szCs w:val="20"/>
          <w:lang w:val="en-GB"/>
        </w:rPr>
        <w:t xml:space="preserve">echnology </w:t>
      </w:r>
      <w:r w:rsidR="00A91163">
        <w:rPr>
          <w:rFonts w:asciiTheme="majorHAnsi" w:eastAsiaTheme="minorEastAsia" w:hAnsiTheme="majorHAnsi" w:cs="Arial"/>
          <w:sz w:val="20"/>
          <w:szCs w:val="20"/>
          <w:lang w:val="en-GB"/>
        </w:rPr>
        <w:t>A</w:t>
      </w:r>
      <w:r w:rsidR="00180DFE" w:rsidRPr="00180DFE">
        <w:rPr>
          <w:rFonts w:asciiTheme="majorHAnsi" w:eastAsiaTheme="minorEastAsia" w:hAnsiTheme="majorHAnsi" w:cs="Arial"/>
          <w:sz w:val="20"/>
          <w:szCs w:val="20"/>
          <w:lang w:val="en-GB"/>
        </w:rPr>
        <w:t xml:space="preserve">ssessment </w:t>
      </w:r>
      <w:r w:rsidR="00A91163">
        <w:rPr>
          <w:rFonts w:asciiTheme="majorHAnsi" w:eastAsiaTheme="minorEastAsia" w:hAnsiTheme="majorHAnsi" w:cs="Arial"/>
          <w:sz w:val="20"/>
          <w:szCs w:val="20"/>
          <w:lang w:val="en-GB"/>
        </w:rPr>
        <w:t xml:space="preserve">which is usually managed </w:t>
      </w:r>
      <w:r w:rsidR="00FB6AB4">
        <w:rPr>
          <w:rFonts w:asciiTheme="majorHAnsi" w:eastAsiaTheme="minorEastAsia" w:hAnsiTheme="majorHAnsi" w:cs="Arial"/>
          <w:sz w:val="20"/>
          <w:szCs w:val="20"/>
          <w:lang w:val="en-GB"/>
        </w:rPr>
        <w:t>with</w:t>
      </w:r>
      <w:r w:rsidR="00A91163">
        <w:rPr>
          <w:rFonts w:asciiTheme="majorHAnsi" w:eastAsiaTheme="minorEastAsia" w:hAnsiTheme="majorHAnsi" w:cs="Arial"/>
          <w:sz w:val="20"/>
          <w:szCs w:val="20"/>
          <w:lang w:val="en-GB"/>
        </w:rPr>
        <w:t>in each jurisdiction, or</w:t>
      </w:r>
      <w:r w:rsidR="00180DFE" w:rsidRPr="00180DFE">
        <w:rPr>
          <w:rFonts w:asciiTheme="majorHAnsi" w:eastAsiaTheme="minorEastAsia" w:hAnsiTheme="majorHAnsi" w:cs="Arial"/>
          <w:sz w:val="20"/>
          <w:szCs w:val="20"/>
          <w:lang w:val="en-GB"/>
        </w:rPr>
        <w:t xml:space="preserve"> some type of </w:t>
      </w:r>
      <w:r w:rsidR="00A91163">
        <w:rPr>
          <w:rFonts w:asciiTheme="majorHAnsi" w:eastAsiaTheme="minorEastAsia" w:hAnsiTheme="majorHAnsi" w:cs="Arial"/>
          <w:sz w:val="20"/>
          <w:szCs w:val="20"/>
          <w:lang w:val="en-GB"/>
        </w:rPr>
        <w:t xml:space="preserve">later </w:t>
      </w:r>
      <w:r w:rsidR="00DC3C07">
        <w:rPr>
          <w:rFonts w:asciiTheme="majorHAnsi" w:eastAsiaTheme="minorEastAsia" w:hAnsiTheme="majorHAnsi" w:cs="Arial"/>
          <w:sz w:val="20"/>
          <w:szCs w:val="20"/>
          <w:lang w:val="en-GB"/>
        </w:rPr>
        <w:t>P</w:t>
      </w:r>
      <w:r w:rsidR="00180DFE" w:rsidRPr="00180DFE">
        <w:rPr>
          <w:rFonts w:asciiTheme="majorHAnsi" w:eastAsiaTheme="minorEastAsia" w:hAnsiTheme="majorHAnsi" w:cs="Arial"/>
          <w:sz w:val="20"/>
          <w:szCs w:val="20"/>
          <w:lang w:val="en-GB"/>
        </w:rPr>
        <w:t xml:space="preserve">hase </w:t>
      </w:r>
      <w:r w:rsidR="00A91163">
        <w:rPr>
          <w:rFonts w:asciiTheme="majorHAnsi" w:eastAsiaTheme="minorEastAsia" w:hAnsiTheme="majorHAnsi" w:cs="Arial"/>
          <w:sz w:val="20"/>
          <w:szCs w:val="20"/>
          <w:lang w:val="en-GB"/>
        </w:rPr>
        <w:t>IV (implementation oriented)</w:t>
      </w:r>
      <w:r w:rsidR="00180DFE" w:rsidRPr="00180DFE">
        <w:rPr>
          <w:rFonts w:asciiTheme="majorHAnsi" w:eastAsiaTheme="minorEastAsia" w:hAnsiTheme="majorHAnsi" w:cs="Arial"/>
          <w:sz w:val="20"/>
          <w:szCs w:val="20"/>
          <w:lang w:val="en-GB"/>
        </w:rPr>
        <w:t xml:space="preserve"> clinical trial</w:t>
      </w:r>
      <w:r w:rsidR="00FB6AB4">
        <w:rPr>
          <w:rFonts w:asciiTheme="majorHAnsi" w:eastAsiaTheme="minorEastAsia" w:hAnsiTheme="majorHAnsi" w:cs="Arial"/>
          <w:sz w:val="20"/>
          <w:szCs w:val="20"/>
          <w:lang w:val="en-GB"/>
        </w:rPr>
        <w:t>,</w:t>
      </w:r>
      <w:r w:rsidR="00180DFE" w:rsidRPr="00180DFE">
        <w:rPr>
          <w:rFonts w:asciiTheme="majorHAnsi" w:eastAsiaTheme="minorEastAsia" w:hAnsiTheme="majorHAnsi" w:cs="Arial"/>
          <w:sz w:val="20"/>
          <w:szCs w:val="20"/>
          <w:lang w:val="en-GB"/>
        </w:rPr>
        <w:t xml:space="preserve"> which will extend beyond the initial indications of the formal validation in the case of the </w:t>
      </w:r>
      <w:r w:rsidR="00FE4588">
        <w:rPr>
          <w:rFonts w:asciiTheme="majorHAnsi" w:eastAsiaTheme="minorEastAsia" w:hAnsiTheme="majorHAnsi" w:cs="Arial"/>
          <w:sz w:val="20"/>
          <w:szCs w:val="20"/>
          <w:lang w:val="en-GB"/>
        </w:rPr>
        <w:t>C</w:t>
      </w:r>
      <w:r w:rsidR="00180DFE" w:rsidRPr="00180DFE">
        <w:rPr>
          <w:rFonts w:asciiTheme="majorHAnsi" w:eastAsiaTheme="minorEastAsia" w:hAnsiTheme="majorHAnsi" w:cs="Arial"/>
          <w:sz w:val="20"/>
          <w:szCs w:val="20"/>
          <w:lang w:val="en-GB"/>
        </w:rPr>
        <w:t xml:space="preserve">linical </w:t>
      </w:r>
      <w:r w:rsidR="00FE4588">
        <w:rPr>
          <w:rFonts w:asciiTheme="majorHAnsi" w:eastAsiaTheme="minorEastAsia" w:hAnsiTheme="majorHAnsi" w:cs="Arial"/>
          <w:sz w:val="20"/>
          <w:szCs w:val="20"/>
          <w:lang w:val="en-GB"/>
        </w:rPr>
        <w:t>T</w:t>
      </w:r>
      <w:r w:rsidR="00180DFE" w:rsidRPr="00180DFE">
        <w:rPr>
          <w:rFonts w:asciiTheme="majorHAnsi" w:eastAsiaTheme="minorEastAsia" w:hAnsiTheme="majorHAnsi" w:cs="Arial"/>
          <w:sz w:val="20"/>
          <w:szCs w:val="20"/>
          <w:lang w:val="en-GB"/>
        </w:rPr>
        <w:t>rial</w:t>
      </w:r>
      <w:r w:rsidR="00A33BD8">
        <w:rPr>
          <w:rFonts w:asciiTheme="majorHAnsi" w:eastAsiaTheme="minorEastAsia" w:hAnsiTheme="majorHAnsi" w:cs="Arial"/>
          <w:sz w:val="20"/>
          <w:szCs w:val="20"/>
          <w:lang w:val="en-GB"/>
        </w:rPr>
        <w:t>s</w:t>
      </w:r>
      <w:r w:rsidR="00180DFE" w:rsidRPr="00180DFE">
        <w:rPr>
          <w:rFonts w:asciiTheme="majorHAnsi" w:eastAsiaTheme="minorEastAsia" w:hAnsiTheme="majorHAnsi" w:cs="Arial"/>
          <w:sz w:val="20"/>
          <w:szCs w:val="20"/>
          <w:lang w:val="en-GB"/>
        </w:rPr>
        <w:t xml:space="preserve"> of </w:t>
      </w:r>
      <w:r w:rsidR="00FE4588">
        <w:rPr>
          <w:rFonts w:asciiTheme="majorHAnsi" w:eastAsiaTheme="minorEastAsia" w:hAnsiTheme="majorHAnsi" w:cs="Arial"/>
          <w:sz w:val="20"/>
          <w:szCs w:val="20"/>
          <w:lang w:val="en-GB"/>
        </w:rPr>
        <w:t>Investigational Medicinal P</w:t>
      </w:r>
      <w:r w:rsidR="00180DFE" w:rsidRPr="00180DFE">
        <w:rPr>
          <w:rFonts w:asciiTheme="majorHAnsi" w:eastAsiaTheme="minorEastAsia" w:hAnsiTheme="majorHAnsi" w:cs="Arial"/>
          <w:sz w:val="20"/>
          <w:szCs w:val="20"/>
          <w:lang w:val="en-GB"/>
        </w:rPr>
        <w:t>roducts</w:t>
      </w:r>
      <w:r w:rsidR="00180DFE">
        <w:rPr>
          <w:rFonts w:asciiTheme="majorHAnsi" w:eastAsiaTheme="minorEastAsia" w:hAnsiTheme="majorHAnsi" w:cs="Arial"/>
          <w:sz w:val="20"/>
          <w:szCs w:val="20"/>
          <w:lang w:val="en-GB"/>
        </w:rPr>
        <w:t xml:space="preserve"> (CTIMP)</w:t>
      </w:r>
      <w:r w:rsidR="00180DFE" w:rsidRPr="00180DFE">
        <w:rPr>
          <w:rFonts w:asciiTheme="majorHAnsi" w:eastAsiaTheme="minorEastAsia" w:hAnsiTheme="majorHAnsi" w:cs="Arial"/>
          <w:sz w:val="20"/>
          <w:szCs w:val="20"/>
          <w:lang w:val="en-GB"/>
        </w:rPr>
        <w:t>.</w:t>
      </w:r>
    </w:p>
    <w:p w:rsidR="00180DFE" w:rsidRPr="00180DFE" w:rsidRDefault="00180DFE" w:rsidP="00ED3C60">
      <w:pPr>
        <w:ind w:firstLine="397"/>
        <w:jc w:val="both"/>
        <w:rPr>
          <w:rFonts w:asciiTheme="majorHAnsi" w:eastAsiaTheme="minorEastAsia" w:hAnsiTheme="majorHAnsi" w:cs="Arial"/>
          <w:sz w:val="20"/>
          <w:szCs w:val="20"/>
          <w:lang w:val="en-GB"/>
        </w:rPr>
      </w:pPr>
      <w:r w:rsidRPr="00180DFE">
        <w:rPr>
          <w:rFonts w:asciiTheme="majorHAnsi" w:eastAsiaTheme="minorEastAsia" w:hAnsiTheme="majorHAnsi" w:cs="Arial"/>
          <w:sz w:val="20"/>
          <w:szCs w:val="20"/>
          <w:lang w:val="en-GB"/>
        </w:rPr>
        <w:t xml:space="preserve">Ultimately the real </w:t>
      </w:r>
      <w:r w:rsidR="00A33BD8">
        <w:rPr>
          <w:rFonts w:asciiTheme="majorHAnsi" w:eastAsiaTheme="minorEastAsia" w:hAnsiTheme="majorHAnsi" w:cs="Arial"/>
          <w:sz w:val="20"/>
          <w:szCs w:val="20"/>
          <w:lang w:val="en-GB"/>
        </w:rPr>
        <w:t>‘</w:t>
      </w:r>
      <w:r w:rsidRPr="00180DFE">
        <w:rPr>
          <w:rFonts w:asciiTheme="majorHAnsi" w:eastAsiaTheme="minorEastAsia" w:hAnsiTheme="majorHAnsi" w:cs="Arial"/>
          <w:sz w:val="20"/>
          <w:szCs w:val="20"/>
          <w:lang w:val="en-GB"/>
        </w:rPr>
        <w:t>test</w:t>
      </w:r>
      <w:r w:rsidR="00A33BD8">
        <w:rPr>
          <w:rFonts w:asciiTheme="majorHAnsi" w:eastAsiaTheme="minorEastAsia" w:hAnsiTheme="majorHAnsi" w:cs="Arial"/>
          <w:sz w:val="20"/>
          <w:szCs w:val="20"/>
          <w:lang w:val="en-GB"/>
        </w:rPr>
        <w:t>’</w:t>
      </w:r>
      <w:r w:rsidRPr="00180DFE">
        <w:rPr>
          <w:rFonts w:asciiTheme="majorHAnsi" w:eastAsiaTheme="minorEastAsia" w:hAnsiTheme="majorHAnsi" w:cs="Arial"/>
          <w:sz w:val="20"/>
          <w:szCs w:val="20"/>
          <w:lang w:val="en-GB"/>
        </w:rPr>
        <w:t xml:space="preserve"> for any system is its potential to impact upon the market, and thus success is indicated by eva</w:t>
      </w:r>
      <w:r w:rsidR="00FE4588">
        <w:rPr>
          <w:rFonts w:asciiTheme="majorHAnsi" w:eastAsiaTheme="minorEastAsia" w:hAnsiTheme="majorHAnsi" w:cs="Arial"/>
          <w:sz w:val="20"/>
          <w:szCs w:val="20"/>
          <w:lang w:val="en-GB"/>
        </w:rPr>
        <w:t>luation of its impact at the TR</w:t>
      </w:r>
      <w:r w:rsidRPr="00180DFE">
        <w:rPr>
          <w:rFonts w:asciiTheme="majorHAnsi" w:eastAsiaTheme="minorEastAsia" w:hAnsiTheme="majorHAnsi" w:cs="Arial"/>
          <w:sz w:val="20"/>
          <w:szCs w:val="20"/>
          <w:lang w:val="en-GB"/>
        </w:rPr>
        <w:t>L9 stage.</w:t>
      </w:r>
      <w:r w:rsidR="00A33BD8">
        <w:rPr>
          <w:rFonts w:asciiTheme="majorHAnsi" w:eastAsiaTheme="minorEastAsia" w:hAnsiTheme="majorHAnsi" w:cs="Arial"/>
          <w:sz w:val="20"/>
          <w:szCs w:val="20"/>
          <w:lang w:val="en-GB"/>
        </w:rPr>
        <w:t xml:space="preserve">  Identifying design flaws at this stage is clearly ‘too late’ for correction.</w:t>
      </w:r>
    </w:p>
    <w:p w:rsidR="00180DFE" w:rsidRPr="00180DFE" w:rsidRDefault="002E732B" w:rsidP="00ED3C60">
      <w:pPr>
        <w:ind w:firstLine="397"/>
        <w:jc w:val="both"/>
        <w:rPr>
          <w:rFonts w:asciiTheme="majorHAnsi" w:eastAsiaTheme="minorEastAsia" w:hAnsiTheme="majorHAnsi" w:cs="Arial"/>
          <w:sz w:val="20"/>
          <w:szCs w:val="20"/>
          <w:lang w:val="en-GB"/>
        </w:rPr>
      </w:pPr>
      <w:r>
        <w:rPr>
          <w:rFonts w:asciiTheme="majorHAnsi" w:eastAsiaTheme="minorEastAsia" w:hAnsiTheme="majorHAnsi" w:cs="Arial"/>
          <w:sz w:val="20"/>
          <w:szCs w:val="20"/>
          <w:lang w:val="en-GB"/>
        </w:rPr>
        <w:t>Cross-</w:t>
      </w:r>
      <w:r w:rsidR="00180DFE" w:rsidRPr="00180DFE">
        <w:rPr>
          <w:rFonts w:asciiTheme="majorHAnsi" w:eastAsiaTheme="minorEastAsia" w:hAnsiTheme="majorHAnsi" w:cs="Arial"/>
          <w:sz w:val="20"/>
          <w:szCs w:val="20"/>
          <w:lang w:val="en-GB"/>
        </w:rPr>
        <w:t xml:space="preserve">cutting this technology assessment tool, is the realistic appraisal </w:t>
      </w:r>
      <w:r w:rsidR="00A91163">
        <w:rPr>
          <w:rFonts w:asciiTheme="majorHAnsi" w:eastAsiaTheme="minorEastAsia" w:hAnsiTheme="majorHAnsi" w:cs="Arial"/>
          <w:sz w:val="20"/>
          <w:szCs w:val="20"/>
          <w:lang w:val="en-GB"/>
        </w:rPr>
        <w:t>as to</w:t>
      </w:r>
      <w:r w:rsidR="00180DFE" w:rsidRPr="00180DFE">
        <w:rPr>
          <w:rFonts w:asciiTheme="majorHAnsi" w:eastAsiaTheme="minorEastAsia" w:hAnsiTheme="majorHAnsi" w:cs="Arial"/>
          <w:sz w:val="20"/>
          <w:szCs w:val="20"/>
          <w:lang w:val="en-GB"/>
        </w:rPr>
        <w:t xml:space="preserve"> which biological scales are relevant. At </w:t>
      </w:r>
      <w:r w:rsidR="00A33BD8">
        <w:rPr>
          <w:rFonts w:asciiTheme="majorHAnsi" w:eastAsiaTheme="minorEastAsia" w:hAnsiTheme="majorHAnsi" w:cs="Arial"/>
          <w:sz w:val="20"/>
          <w:szCs w:val="20"/>
          <w:lang w:val="en-GB"/>
        </w:rPr>
        <w:t xml:space="preserve">the beginning </w:t>
      </w:r>
      <w:r w:rsidR="00180DFE" w:rsidRPr="00180DFE">
        <w:rPr>
          <w:rFonts w:asciiTheme="majorHAnsi" w:eastAsiaTheme="minorEastAsia" w:hAnsiTheme="majorHAnsi" w:cs="Arial"/>
          <w:sz w:val="20"/>
          <w:szCs w:val="20"/>
          <w:lang w:val="en-GB"/>
        </w:rPr>
        <w:t>of the spectrum</w:t>
      </w:r>
      <w:r>
        <w:rPr>
          <w:rFonts w:asciiTheme="majorHAnsi" w:eastAsiaTheme="minorEastAsia" w:hAnsiTheme="majorHAnsi" w:cs="Arial"/>
          <w:sz w:val="20"/>
          <w:szCs w:val="20"/>
          <w:lang w:val="en-GB"/>
        </w:rPr>
        <w:t xml:space="preserve"> (10</w:t>
      </w:r>
      <w:r w:rsidRPr="002E732B">
        <w:rPr>
          <w:rFonts w:asciiTheme="majorHAnsi" w:eastAsiaTheme="minorEastAsia" w:hAnsiTheme="majorHAnsi" w:cs="Arial"/>
          <w:sz w:val="20"/>
          <w:szCs w:val="20"/>
          <w:vertAlign w:val="superscript"/>
          <w:lang w:val="en-GB"/>
        </w:rPr>
        <w:t>-8</w:t>
      </w:r>
      <w:r>
        <w:rPr>
          <w:rFonts w:asciiTheme="majorHAnsi" w:eastAsiaTheme="minorEastAsia" w:hAnsiTheme="majorHAnsi" w:cs="Arial"/>
          <w:sz w:val="20"/>
          <w:szCs w:val="20"/>
          <w:lang w:val="en-GB"/>
        </w:rPr>
        <w:t>m)</w:t>
      </w:r>
      <w:r w:rsidR="00180DFE" w:rsidRPr="00180DFE">
        <w:rPr>
          <w:rFonts w:asciiTheme="majorHAnsi" w:eastAsiaTheme="minorEastAsia" w:hAnsiTheme="majorHAnsi" w:cs="Arial"/>
          <w:sz w:val="20"/>
          <w:szCs w:val="20"/>
          <w:lang w:val="en-GB"/>
        </w:rPr>
        <w:t xml:space="preserve">, aspects of </w:t>
      </w:r>
      <w:r w:rsidR="00A91163">
        <w:rPr>
          <w:rFonts w:asciiTheme="majorHAnsi" w:eastAsiaTheme="minorEastAsia" w:hAnsiTheme="majorHAnsi" w:cs="Arial"/>
          <w:sz w:val="20"/>
          <w:szCs w:val="20"/>
          <w:lang w:val="en-GB"/>
        </w:rPr>
        <w:t>the technology</w:t>
      </w:r>
      <w:r w:rsidR="00180DFE" w:rsidRPr="00180DFE">
        <w:rPr>
          <w:rFonts w:asciiTheme="majorHAnsi" w:eastAsiaTheme="minorEastAsia" w:hAnsiTheme="majorHAnsi" w:cs="Arial"/>
          <w:sz w:val="20"/>
          <w:szCs w:val="20"/>
          <w:lang w:val="en-GB"/>
        </w:rPr>
        <w:t xml:space="preserve"> </w:t>
      </w:r>
      <w:r>
        <w:rPr>
          <w:rFonts w:asciiTheme="majorHAnsi" w:eastAsiaTheme="minorEastAsia" w:hAnsiTheme="majorHAnsi" w:cs="Arial"/>
          <w:sz w:val="20"/>
          <w:szCs w:val="20"/>
          <w:lang w:val="en-GB"/>
        </w:rPr>
        <w:t xml:space="preserve">that </w:t>
      </w:r>
      <w:r w:rsidR="00180DFE" w:rsidRPr="00180DFE">
        <w:rPr>
          <w:rFonts w:asciiTheme="majorHAnsi" w:eastAsiaTheme="minorEastAsia" w:hAnsiTheme="majorHAnsi" w:cs="Arial"/>
          <w:sz w:val="20"/>
          <w:szCs w:val="20"/>
          <w:lang w:val="en-GB"/>
        </w:rPr>
        <w:t xml:space="preserve">impact at the genetic level will </w:t>
      </w:r>
      <w:r w:rsidR="00A91163">
        <w:rPr>
          <w:rFonts w:asciiTheme="majorHAnsi" w:eastAsiaTheme="minorEastAsia" w:hAnsiTheme="majorHAnsi" w:cs="Arial"/>
          <w:sz w:val="20"/>
          <w:szCs w:val="20"/>
          <w:lang w:val="en-GB"/>
        </w:rPr>
        <w:t xml:space="preserve">be </w:t>
      </w:r>
      <w:r w:rsidR="00180DFE" w:rsidRPr="00180DFE">
        <w:rPr>
          <w:rFonts w:asciiTheme="majorHAnsi" w:eastAsiaTheme="minorEastAsia" w:hAnsiTheme="majorHAnsi" w:cs="Arial"/>
          <w:sz w:val="20"/>
          <w:szCs w:val="20"/>
          <w:lang w:val="en-GB"/>
        </w:rPr>
        <w:t>communicate</w:t>
      </w:r>
      <w:r w:rsidR="00A91163">
        <w:rPr>
          <w:rFonts w:asciiTheme="majorHAnsi" w:eastAsiaTheme="minorEastAsia" w:hAnsiTheme="majorHAnsi" w:cs="Arial"/>
          <w:sz w:val="20"/>
          <w:szCs w:val="20"/>
          <w:lang w:val="en-GB"/>
        </w:rPr>
        <w:t>d b</w:t>
      </w:r>
      <w:r w:rsidR="00180DFE" w:rsidRPr="00180DFE">
        <w:rPr>
          <w:rFonts w:asciiTheme="majorHAnsi" w:eastAsiaTheme="minorEastAsia" w:hAnsiTheme="majorHAnsi" w:cs="Arial"/>
          <w:sz w:val="20"/>
          <w:szCs w:val="20"/>
          <w:lang w:val="en-GB"/>
        </w:rPr>
        <w:t>iologically through gene expression</w:t>
      </w:r>
      <w:r w:rsidR="00A91163">
        <w:rPr>
          <w:rFonts w:asciiTheme="majorHAnsi" w:eastAsiaTheme="minorEastAsia" w:hAnsiTheme="majorHAnsi" w:cs="Arial"/>
          <w:sz w:val="20"/>
          <w:szCs w:val="20"/>
          <w:lang w:val="en-GB"/>
        </w:rPr>
        <w:t xml:space="preserve"> to</w:t>
      </w:r>
      <w:r w:rsidR="00180DFE" w:rsidRPr="00180DFE">
        <w:rPr>
          <w:rFonts w:asciiTheme="majorHAnsi" w:eastAsiaTheme="minorEastAsia" w:hAnsiTheme="majorHAnsi" w:cs="Arial"/>
          <w:sz w:val="20"/>
          <w:szCs w:val="20"/>
          <w:lang w:val="en-GB"/>
        </w:rPr>
        <w:t xml:space="preserve"> the proteomic level</w:t>
      </w:r>
      <w:r>
        <w:rPr>
          <w:rFonts w:asciiTheme="majorHAnsi" w:eastAsiaTheme="minorEastAsia" w:hAnsiTheme="majorHAnsi" w:cs="Arial"/>
          <w:sz w:val="20"/>
          <w:szCs w:val="20"/>
          <w:lang w:val="en-GB"/>
        </w:rPr>
        <w:t>,</w:t>
      </w:r>
      <w:r w:rsidR="00180DFE" w:rsidRPr="00180DFE">
        <w:rPr>
          <w:rFonts w:asciiTheme="majorHAnsi" w:eastAsiaTheme="minorEastAsia" w:hAnsiTheme="majorHAnsi" w:cs="Arial"/>
          <w:sz w:val="20"/>
          <w:szCs w:val="20"/>
          <w:lang w:val="en-GB"/>
        </w:rPr>
        <w:t xml:space="preserve"> which drives the </w:t>
      </w:r>
      <w:r w:rsidR="00A91163">
        <w:rPr>
          <w:rFonts w:asciiTheme="majorHAnsi" w:eastAsiaTheme="minorEastAsia" w:hAnsiTheme="majorHAnsi" w:cs="Arial"/>
          <w:sz w:val="20"/>
          <w:szCs w:val="20"/>
          <w:lang w:val="en-GB"/>
        </w:rPr>
        <w:t xml:space="preserve">metabolome and hence </w:t>
      </w:r>
      <w:r w:rsidR="00A33BD8">
        <w:rPr>
          <w:rFonts w:asciiTheme="majorHAnsi" w:eastAsiaTheme="minorEastAsia" w:hAnsiTheme="majorHAnsi" w:cs="Arial"/>
          <w:sz w:val="20"/>
          <w:szCs w:val="20"/>
          <w:lang w:val="en-GB"/>
        </w:rPr>
        <w:t>influences the</w:t>
      </w:r>
      <w:r w:rsidR="00A91163">
        <w:rPr>
          <w:rFonts w:asciiTheme="majorHAnsi" w:eastAsiaTheme="minorEastAsia" w:hAnsiTheme="majorHAnsi" w:cs="Arial"/>
          <w:sz w:val="20"/>
          <w:szCs w:val="20"/>
          <w:lang w:val="en-GB"/>
        </w:rPr>
        <w:t xml:space="preserve"> metabolic</w:t>
      </w:r>
      <w:r w:rsidR="00180DFE" w:rsidRPr="00180DFE">
        <w:rPr>
          <w:rFonts w:asciiTheme="majorHAnsi" w:eastAsiaTheme="minorEastAsia" w:hAnsiTheme="majorHAnsi" w:cs="Arial"/>
          <w:sz w:val="20"/>
          <w:szCs w:val="20"/>
          <w:lang w:val="en-GB"/>
        </w:rPr>
        <w:t xml:space="preserve"> level. These phy</w:t>
      </w:r>
      <w:r w:rsidR="00077DB6">
        <w:rPr>
          <w:rFonts w:asciiTheme="majorHAnsi" w:eastAsiaTheme="minorEastAsia" w:hAnsiTheme="majorHAnsi" w:cs="Arial"/>
          <w:sz w:val="20"/>
          <w:szCs w:val="20"/>
          <w:lang w:val="en-GB"/>
        </w:rPr>
        <w:t xml:space="preserve">siological systems work on </w:t>
      </w:r>
      <w:r w:rsidR="00E049B6">
        <w:rPr>
          <w:rFonts w:asciiTheme="majorHAnsi" w:eastAsiaTheme="minorEastAsia" w:hAnsiTheme="majorHAnsi" w:cs="Arial"/>
          <w:sz w:val="20"/>
          <w:szCs w:val="20"/>
          <w:lang w:val="en-GB"/>
        </w:rPr>
        <w:t>sub</w:t>
      </w:r>
      <w:r w:rsidR="00E049B6" w:rsidRPr="00180DFE">
        <w:rPr>
          <w:rFonts w:asciiTheme="majorHAnsi" w:eastAsiaTheme="minorEastAsia" w:hAnsiTheme="majorHAnsi" w:cs="Arial"/>
          <w:sz w:val="20"/>
          <w:szCs w:val="20"/>
          <w:lang w:val="en-GB"/>
        </w:rPr>
        <w:t xml:space="preserve"> cellular</w:t>
      </w:r>
      <w:r w:rsidR="00180DFE" w:rsidRPr="00180DFE">
        <w:rPr>
          <w:rFonts w:asciiTheme="majorHAnsi" w:eastAsiaTheme="minorEastAsia" w:hAnsiTheme="majorHAnsi" w:cs="Arial"/>
          <w:sz w:val="20"/>
          <w:szCs w:val="20"/>
          <w:lang w:val="en-GB"/>
        </w:rPr>
        <w:t xml:space="preserve"> and cellular systems, which clearly impact upon the ability of tissues to perform their functions</w:t>
      </w:r>
      <w:r w:rsidR="00A33BD8">
        <w:rPr>
          <w:rFonts w:asciiTheme="majorHAnsi" w:eastAsiaTheme="minorEastAsia" w:hAnsiTheme="majorHAnsi" w:cs="Arial"/>
          <w:sz w:val="20"/>
          <w:szCs w:val="20"/>
          <w:lang w:val="en-GB"/>
        </w:rPr>
        <w:t>,</w:t>
      </w:r>
      <w:r w:rsidR="00180DFE" w:rsidRPr="00180DFE">
        <w:rPr>
          <w:rFonts w:asciiTheme="majorHAnsi" w:eastAsiaTheme="minorEastAsia" w:hAnsiTheme="majorHAnsi" w:cs="Arial"/>
          <w:sz w:val="20"/>
          <w:szCs w:val="20"/>
          <w:lang w:val="en-GB"/>
        </w:rPr>
        <w:t xml:space="preserve"> to withstand stresses which challenge homoeostatic mechanisms.</w:t>
      </w:r>
      <w:r w:rsidR="0078668E">
        <w:rPr>
          <w:rFonts w:asciiTheme="majorHAnsi" w:eastAsiaTheme="minorEastAsia" w:hAnsiTheme="majorHAnsi" w:cs="Arial"/>
          <w:sz w:val="20"/>
          <w:szCs w:val="20"/>
          <w:lang w:val="en-GB"/>
        </w:rPr>
        <w:t xml:space="preserve"> </w:t>
      </w:r>
      <w:r w:rsidR="00077DB6">
        <w:rPr>
          <w:rFonts w:asciiTheme="majorHAnsi" w:eastAsiaTheme="minorEastAsia" w:hAnsiTheme="majorHAnsi" w:cs="Arial"/>
          <w:sz w:val="20"/>
          <w:szCs w:val="20"/>
          <w:lang w:val="en-GB"/>
        </w:rPr>
        <w:t>As tissue</w:t>
      </w:r>
      <w:r w:rsidR="00180DFE" w:rsidRPr="00180DFE">
        <w:rPr>
          <w:rFonts w:asciiTheme="majorHAnsi" w:eastAsiaTheme="minorEastAsia" w:hAnsiTheme="majorHAnsi" w:cs="Arial"/>
          <w:sz w:val="20"/>
          <w:szCs w:val="20"/>
          <w:lang w:val="en-GB"/>
        </w:rPr>
        <w:t xml:space="preserve">s </w:t>
      </w:r>
      <w:r w:rsidR="00077DB6">
        <w:rPr>
          <w:rFonts w:asciiTheme="majorHAnsi" w:eastAsiaTheme="minorEastAsia" w:hAnsiTheme="majorHAnsi" w:cs="Arial"/>
          <w:sz w:val="20"/>
          <w:szCs w:val="20"/>
          <w:lang w:val="en-GB"/>
        </w:rPr>
        <w:t xml:space="preserve">are </w:t>
      </w:r>
      <w:r w:rsidR="00180DFE" w:rsidRPr="00180DFE">
        <w:rPr>
          <w:rFonts w:asciiTheme="majorHAnsi" w:eastAsiaTheme="minorEastAsia" w:hAnsiTheme="majorHAnsi" w:cs="Arial"/>
          <w:sz w:val="20"/>
          <w:szCs w:val="20"/>
          <w:lang w:val="en-GB"/>
        </w:rPr>
        <w:t xml:space="preserve">specialised within organs, so the organs combine to represent the systems such as </w:t>
      </w:r>
      <w:r w:rsidR="00A33BD8">
        <w:rPr>
          <w:rFonts w:asciiTheme="majorHAnsi" w:eastAsiaTheme="minorEastAsia" w:hAnsiTheme="majorHAnsi" w:cs="Arial"/>
          <w:sz w:val="20"/>
          <w:szCs w:val="20"/>
          <w:lang w:val="en-GB"/>
        </w:rPr>
        <w:t xml:space="preserve">the </w:t>
      </w:r>
      <w:r w:rsidR="00180DFE" w:rsidRPr="00180DFE">
        <w:rPr>
          <w:rFonts w:asciiTheme="majorHAnsi" w:eastAsiaTheme="minorEastAsia" w:hAnsiTheme="majorHAnsi" w:cs="Arial"/>
          <w:sz w:val="20"/>
          <w:szCs w:val="20"/>
          <w:lang w:val="en-GB"/>
        </w:rPr>
        <w:t>peripheral nervous system or musculoskeletal system. There is of course a significant relationship between these subsystems of the body</w:t>
      </w:r>
      <w:r w:rsidR="00077DB6">
        <w:rPr>
          <w:rFonts w:asciiTheme="majorHAnsi" w:eastAsiaTheme="minorEastAsia" w:hAnsiTheme="majorHAnsi" w:cs="Arial"/>
          <w:sz w:val="20"/>
          <w:szCs w:val="20"/>
          <w:lang w:val="en-GB"/>
        </w:rPr>
        <w:t>,</w:t>
      </w:r>
      <w:r w:rsidR="00180DFE" w:rsidRPr="00180DFE">
        <w:rPr>
          <w:rFonts w:asciiTheme="majorHAnsi" w:eastAsiaTheme="minorEastAsia" w:hAnsiTheme="majorHAnsi" w:cs="Arial"/>
          <w:sz w:val="20"/>
          <w:szCs w:val="20"/>
          <w:lang w:val="en-GB"/>
        </w:rPr>
        <w:t xml:space="preserve"> such as the </w:t>
      </w:r>
      <w:r>
        <w:rPr>
          <w:rFonts w:asciiTheme="majorHAnsi" w:eastAsiaTheme="minorEastAsia" w:hAnsiTheme="majorHAnsi" w:cs="Arial"/>
          <w:sz w:val="20"/>
          <w:szCs w:val="20"/>
          <w:lang w:val="en-GB"/>
        </w:rPr>
        <w:t xml:space="preserve">coordinated actions of the </w:t>
      </w:r>
      <w:r w:rsidR="00180DFE" w:rsidRPr="00180DFE">
        <w:rPr>
          <w:rFonts w:asciiTheme="majorHAnsi" w:eastAsiaTheme="minorEastAsia" w:hAnsiTheme="majorHAnsi" w:cs="Arial"/>
          <w:sz w:val="20"/>
          <w:szCs w:val="20"/>
          <w:lang w:val="en-GB"/>
        </w:rPr>
        <w:t>neuromuscul</w:t>
      </w:r>
      <w:r w:rsidR="00077DB6">
        <w:rPr>
          <w:rFonts w:asciiTheme="majorHAnsi" w:eastAsiaTheme="minorEastAsia" w:hAnsiTheme="majorHAnsi" w:cs="Arial"/>
          <w:sz w:val="20"/>
          <w:szCs w:val="20"/>
          <w:lang w:val="en-GB"/>
        </w:rPr>
        <w:t>oskeletal</w:t>
      </w:r>
      <w:r w:rsidR="00180DFE" w:rsidRPr="00180DFE">
        <w:rPr>
          <w:rFonts w:asciiTheme="majorHAnsi" w:eastAsiaTheme="minorEastAsia" w:hAnsiTheme="majorHAnsi" w:cs="Arial"/>
          <w:sz w:val="20"/>
          <w:szCs w:val="20"/>
          <w:lang w:val="en-GB"/>
        </w:rPr>
        <w:t xml:space="preserve"> </w:t>
      </w:r>
      <w:r w:rsidR="00A33BD8">
        <w:rPr>
          <w:rFonts w:asciiTheme="majorHAnsi" w:eastAsiaTheme="minorEastAsia" w:hAnsiTheme="majorHAnsi" w:cs="Arial"/>
          <w:sz w:val="20"/>
          <w:szCs w:val="20"/>
          <w:lang w:val="en-GB"/>
        </w:rPr>
        <w:t>axi</w:t>
      </w:r>
      <w:r w:rsidR="00077DB6">
        <w:rPr>
          <w:rFonts w:asciiTheme="majorHAnsi" w:eastAsiaTheme="minorEastAsia" w:hAnsiTheme="majorHAnsi" w:cs="Arial"/>
          <w:sz w:val="20"/>
          <w:szCs w:val="20"/>
          <w:lang w:val="en-GB"/>
        </w:rPr>
        <w:t>s</w:t>
      </w:r>
      <w:r w:rsidR="00180DFE" w:rsidRPr="00180DFE">
        <w:rPr>
          <w:rFonts w:asciiTheme="majorHAnsi" w:eastAsiaTheme="minorEastAsia" w:hAnsiTheme="majorHAnsi" w:cs="Arial"/>
          <w:sz w:val="20"/>
          <w:szCs w:val="20"/>
          <w:lang w:val="en-GB"/>
        </w:rPr>
        <w:t xml:space="preserve">, to </w:t>
      </w:r>
      <w:r w:rsidR="00E049B6" w:rsidRPr="00180DFE">
        <w:rPr>
          <w:rFonts w:asciiTheme="majorHAnsi" w:eastAsiaTheme="minorEastAsia" w:hAnsiTheme="majorHAnsi" w:cs="Arial"/>
          <w:sz w:val="20"/>
          <w:szCs w:val="20"/>
          <w:lang w:val="en-GB"/>
        </w:rPr>
        <w:t>affect</w:t>
      </w:r>
      <w:r w:rsidR="00180DFE" w:rsidRPr="00180DFE">
        <w:rPr>
          <w:rFonts w:asciiTheme="majorHAnsi" w:eastAsiaTheme="minorEastAsia" w:hAnsiTheme="majorHAnsi" w:cs="Arial"/>
          <w:sz w:val="20"/>
          <w:szCs w:val="20"/>
          <w:lang w:val="en-GB"/>
        </w:rPr>
        <w:t xml:space="preserve"> the wishes of an individual.</w:t>
      </w:r>
    </w:p>
    <w:p w:rsidR="00180DFE" w:rsidRPr="00180DFE" w:rsidRDefault="00FB6AB4" w:rsidP="00ED3C60">
      <w:pPr>
        <w:ind w:firstLine="397"/>
        <w:jc w:val="both"/>
        <w:rPr>
          <w:rFonts w:asciiTheme="majorHAnsi" w:eastAsiaTheme="minorEastAsia" w:hAnsiTheme="majorHAnsi" w:cs="Arial"/>
          <w:sz w:val="20"/>
          <w:szCs w:val="20"/>
          <w:lang w:val="en-GB"/>
        </w:rPr>
      </w:pPr>
      <w:r>
        <w:rPr>
          <w:rFonts w:asciiTheme="majorHAnsi" w:eastAsiaTheme="minorEastAsia" w:hAnsiTheme="majorHAnsi" w:cs="Arial"/>
          <w:sz w:val="20"/>
          <w:szCs w:val="20"/>
          <w:lang w:val="en-GB"/>
        </w:rPr>
        <w:t>Extending</w:t>
      </w:r>
      <w:r w:rsidR="00077DB6">
        <w:rPr>
          <w:rFonts w:asciiTheme="majorHAnsi" w:eastAsiaTheme="minorEastAsia" w:hAnsiTheme="majorHAnsi" w:cs="Arial"/>
          <w:sz w:val="20"/>
          <w:szCs w:val="20"/>
          <w:lang w:val="en-GB"/>
        </w:rPr>
        <w:t xml:space="preserve"> </w:t>
      </w:r>
      <w:r w:rsidR="00180DFE" w:rsidRPr="00180DFE">
        <w:rPr>
          <w:rFonts w:asciiTheme="majorHAnsi" w:eastAsiaTheme="minorEastAsia" w:hAnsiTheme="majorHAnsi" w:cs="Arial"/>
          <w:sz w:val="20"/>
          <w:szCs w:val="20"/>
          <w:lang w:val="en-GB"/>
        </w:rPr>
        <w:t>beyond this</w:t>
      </w:r>
      <w:r>
        <w:rPr>
          <w:rFonts w:asciiTheme="majorHAnsi" w:eastAsiaTheme="minorEastAsia" w:hAnsiTheme="majorHAnsi" w:cs="Arial"/>
          <w:sz w:val="20"/>
          <w:szCs w:val="20"/>
          <w:lang w:val="en-GB"/>
        </w:rPr>
        <w:t xml:space="preserve"> scale</w:t>
      </w:r>
      <w:r w:rsidR="00077DB6">
        <w:rPr>
          <w:rFonts w:asciiTheme="majorHAnsi" w:eastAsiaTheme="minorEastAsia" w:hAnsiTheme="majorHAnsi" w:cs="Arial"/>
          <w:sz w:val="20"/>
          <w:szCs w:val="20"/>
          <w:lang w:val="en-GB"/>
        </w:rPr>
        <w:t>,</w:t>
      </w:r>
      <w:r w:rsidR="00180DFE" w:rsidRPr="00180DFE">
        <w:rPr>
          <w:rFonts w:asciiTheme="majorHAnsi" w:eastAsiaTheme="minorEastAsia" w:hAnsiTheme="majorHAnsi" w:cs="Arial"/>
          <w:sz w:val="20"/>
          <w:szCs w:val="20"/>
          <w:lang w:val="en-GB"/>
        </w:rPr>
        <w:t xml:space="preserve"> is the relationship that individual </w:t>
      </w:r>
      <w:r w:rsidR="00077DB6">
        <w:rPr>
          <w:rFonts w:asciiTheme="majorHAnsi" w:eastAsiaTheme="minorEastAsia" w:hAnsiTheme="majorHAnsi" w:cs="Arial"/>
          <w:sz w:val="20"/>
          <w:szCs w:val="20"/>
          <w:lang w:val="en-GB"/>
        </w:rPr>
        <w:t>has with</w:t>
      </w:r>
      <w:r w:rsidR="00180DFE" w:rsidRPr="00180DFE">
        <w:rPr>
          <w:rFonts w:asciiTheme="majorHAnsi" w:eastAsiaTheme="minorEastAsia" w:hAnsiTheme="majorHAnsi" w:cs="Arial"/>
          <w:sz w:val="20"/>
          <w:szCs w:val="20"/>
          <w:lang w:val="en-GB"/>
        </w:rPr>
        <w:t xml:space="preserve"> their local, family group or individuals who may be clustered with respect to certain clinical conditions. Either way, these individuals and groups contribute to their relevant community</w:t>
      </w:r>
      <w:r w:rsidR="002E732B">
        <w:rPr>
          <w:rFonts w:asciiTheme="majorHAnsi" w:eastAsiaTheme="minorEastAsia" w:hAnsiTheme="majorHAnsi" w:cs="Arial"/>
          <w:sz w:val="20"/>
          <w:szCs w:val="20"/>
          <w:lang w:val="en-GB"/>
        </w:rPr>
        <w:t>,</w:t>
      </w:r>
      <w:r w:rsidR="00077DB6">
        <w:rPr>
          <w:rFonts w:asciiTheme="majorHAnsi" w:eastAsiaTheme="minorEastAsia" w:hAnsiTheme="majorHAnsi" w:cs="Arial"/>
          <w:sz w:val="20"/>
          <w:szCs w:val="20"/>
          <w:lang w:val="en-GB"/>
        </w:rPr>
        <w:t xml:space="preserve"> whose expertise in living with clinical conditions and </w:t>
      </w:r>
      <w:r w:rsidR="00E049B6">
        <w:rPr>
          <w:rFonts w:asciiTheme="majorHAnsi" w:eastAsiaTheme="minorEastAsia" w:hAnsiTheme="majorHAnsi" w:cs="Arial"/>
          <w:sz w:val="20"/>
          <w:szCs w:val="20"/>
          <w:lang w:val="en-GB"/>
        </w:rPr>
        <w:t>feedback</w:t>
      </w:r>
      <w:r w:rsidR="009F2447">
        <w:rPr>
          <w:rFonts w:asciiTheme="majorHAnsi" w:eastAsiaTheme="minorEastAsia" w:hAnsiTheme="majorHAnsi" w:cs="Arial"/>
          <w:sz w:val="20"/>
          <w:szCs w:val="20"/>
          <w:lang w:val="en-GB"/>
        </w:rPr>
        <w:t>,</w:t>
      </w:r>
      <w:r w:rsidR="00077DB6">
        <w:rPr>
          <w:rFonts w:asciiTheme="majorHAnsi" w:eastAsiaTheme="minorEastAsia" w:hAnsiTheme="majorHAnsi" w:cs="Arial"/>
          <w:sz w:val="20"/>
          <w:szCs w:val="20"/>
          <w:lang w:val="en-GB"/>
        </w:rPr>
        <w:t xml:space="preserve"> drive research teams</w:t>
      </w:r>
      <w:r w:rsidR="009F2447">
        <w:rPr>
          <w:rFonts w:asciiTheme="majorHAnsi" w:eastAsiaTheme="minorEastAsia" w:hAnsiTheme="majorHAnsi" w:cs="Arial"/>
          <w:sz w:val="20"/>
          <w:szCs w:val="20"/>
          <w:lang w:val="en-GB"/>
        </w:rPr>
        <w:t>. This</w:t>
      </w:r>
      <w:r w:rsidR="00077DB6">
        <w:rPr>
          <w:rFonts w:asciiTheme="majorHAnsi" w:eastAsiaTheme="minorEastAsia" w:hAnsiTheme="majorHAnsi" w:cs="Arial"/>
          <w:sz w:val="20"/>
          <w:szCs w:val="20"/>
          <w:lang w:val="en-GB"/>
        </w:rPr>
        <w:t xml:space="preserve"> is broadly termed </w:t>
      </w:r>
      <w:r w:rsidR="00077DB6" w:rsidRPr="00FB6AB4">
        <w:rPr>
          <w:rFonts w:asciiTheme="majorHAnsi" w:eastAsiaTheme="minorEastAsia" w:hAnsiTheme="majorHAnsi" w:cs="Arial"/>
          <w:i/>
          <w:sz w:val="20"/>
          <w:szCs w:val="20"/>
          <w:lang w:val="en-GB"/>
        </w:rPr>
        <w:t xml:space="preserve">‘public and patient involvement’ </w:t>
      </w:r>
      <w:r w:rsidR="00077DB6">
        <w:rPr>
          <w:rFonts w:asciiTheme="majorHAnsi" w:eastAsiaTheme="minorEastAsia" w:hAnsiTheme="majorHAnsi" w:cs="Arial"/>
          <w:sz w:val="20"/>
          <w:szCs w:val="20"/>
          <w:lang w:val="en-GB"/>
        </w:rPr>
        <w:t>(PPI). This u</w:t>
      </w:r>
      <w:r w:rsidR="00180DFE" w:rsidRPr="00180DFE">
        <w:rPr>
          <w:rFonts w:asciiTheme="majorHAnsi" w:eastAsiaTheme="minorEastAsia" w:hAnsiTheme="majorHAnsi" w:cs="Arial"/>
          <w:sz w:val="20"/>
          <w:szCs w:val="20"/>
          <w:lang w:val="en-GB"/>
        </w:rPr>
        <w:t>lti</w:t>
      </w:r>
      <w:r w:rsidR="00077DB6">
        <w:rPr>
          <w:rFonts w:asciiTheme="majorHAnsi" w:eastAsiaTheme="minorEastAsia" w:hAnsiTheme="majorHAnsi" w:cs="Arial"/>
          <w:sz w:val="20"/>
          <w:szCs w:val="20"/>
          <w:lang w:val="en-GB"/>
        </w:rPr>
        <w:t>mately has an impact at the political</w:t>
      </w:r>
      <w:r w:rsidR="00180DFE" w:rsidRPr="00180DFE">
        <w:rPr>
          <w:rFonts w:asciiTheme="majorHAnsi" w:eastAsiaTheme="minorEastAsia" w:hAnsiTheme="majorHAnsi" w:cs="Arial"/>
          <w:sz w:val="20"/>
          <w:szCs w:val="20"/>
          <w:lang w:val="en-GB"/>
        </w:rPr>
        <w:t xml:space="preserve"> level, </w:t>
      </w:r>
      <w:r w:rsidR="00077DB6">
        <w:rPr>
          <w:rFonts w:asciiTheme="majorHAnsi" w:eastAsiaTheme="minorEastAsia" w:hAnsiTheme="majorHAnsi" w:cs="Arial"/>
          <w:sz w:val="20"/>
          <w:szCs w:val="20"/>
          <w:lang w:val="en-GB"/>
        </w:rPr>
        <w:t xml:space="preserve">where </w:t>
      </w:r>
      <w:r w:rsidR="00180DFE" w:rsidRPr="00180DFE">
        <w:rPr>
          <w:rFonts w:asciiTheme="majorHAnsi" w:eastAsiaTheme="minorEastAsia" w:hAnsiTheme="majorHAnsi" w:cs="Arial"/>
          <w:sz w:val="20"/>
          <w:szCs w:val="20"/>
          <w:lang w:val="en-GB"/>
        </w:rPr>
        <w:t xml:space="preserve">there is the need to apply the strategic thinking necessary to address epidemiological challenges. Whilst this </w:t>
      </w:r>
      <w:r w:rsidR="009F2447" w:rsidRPr="009F2447">
        <w:rPr>
          <w:rFonts w:asciiTheme="majorHAnsi" w:eastAsiaTheme="minorEastAsia" w:hAnsiTheme="majorHAnsi" w:cs="Arial"/>
          <w:i/>
          <w:sz w:val="20"/>
          <w:szCs w:val="20"/>
          <w:lang w:val="en-GB"/>
        </w:rPr>
        <w:t>L</w:t>
      </w:r>
      <w:r w:rsidR="00180DFE" w:rsidRPr="009F2447">
        <w:rPr>
          <w:rFonts w:asciiTheme="majorHAnsi" w:eastAsiaTheme="minorEastAsia" w:hAnsiTheme="majorHAnsi" w:cs="Arial"/>
          <w:i/>
          <w:sz w:val="20"/>
          <w:szCs w:val="20"/>
          <w:lang w:val="en-GB"/>
        </w:rPr>
        <w:t xml:space="preserve">ife </w:t>
      </w:r>
      <w:r w:rsidR="009F2447" w:rsidRPr="009F2447">
        <w:rPr>
          <w:rFonts w:asciiTheme="majorHAnsi" w:eastAsiaTheme="minorEastAsia" w:hAnsiTheme="majorHAnsi" w:cs="Arial"/>
          <w:i/>
          <w:sz w:val="20"/>
          <w:szCs w:val="20"/>
          <w:lang w:val="en-GB"/>
        </w:rPr>
        <w:t>S</w:t>
      </w:r>
      <w:r w:rsidR="00180DFE" w:rsidRPr="009F2447">
        <w:rPr>
          <w:rFonts w:asciiTheme="majorHAnsi" w:eastAsiaTheme="minorEastAsia" w:hAnsiTheme="majorHAnsi" w:cs="Arial"/>
          <w:i/>
          <w:sz w:val="20"/>
          <w:szCs w:val="20"/>
          <w:lang w:val="en-GB"/>
        </w:rPr>
        <w:t xml:space="preserve">cience </w:t>
      </w:r>
      <w:r w:rsidR="009F2447" w:rsidRPr="009F2447">
        <w:rPr>
          <w:rFonts w:asciiTheme="majorHAnsi" w:eastAsiaTheme="minorEastAsia" w:hAnsiTheme="majorHAnsi" w:cs="Arial"/>
          <w:i/>
          <w:sz w:val="20"/>
          <w:szCs w:val="20"/>
          <w:lang w:val="en-GB"/>
        </w:rPr>
        <w:t>(LS)</w:t>
      </w:r>
      <w:r w:rsidR="009F2447">
        <w:rPr>
          <w:rFonts w:asciiTheme="majorHAnsi" w:eastAsiaTheme="minorEastAsia" w:hAnsiTheme="majorHAnsi" w:cs="Arial"/>
          <w:sz w:val="20"/>
          <w:szCs w:val="20"/>
          <w:lang w:val="en-GB"/>
        </w:rPr>
        <w:t xml:space="preserve"> </w:t>
      </w:r>
      <w:r w:rsidR="00180DFE" w:rsidRPr="00180DFE">
        <w:rPr>
          <w:rFonts w:asciiTheme="majorHAnsi" w:eastAsiaTheme="minorEastAsia" w:hAnsiTheme="majorHAnsi" w:cs="Arial"/>
          <w:sz w:val="20"/>
          <w:szCs w:val="20"/>
          <w:lang w:val="en-GB"/>
        </w:rPr>
        <w:t>scale effect</w:t>
      </w:r>
      <w:r w:rsidR="00077DB6">
        <w:rPr>
          <w:rFonts w:asciiTheme="majorHAnsi" w:eastAsiaTheme="minorEastAsia" w:hAnsiTheme="majorHAnsi" w:cs="Arial"/>
          <w:sz w:val="20"/>
          <w:szCs w:val="20"/>
          <w:lang w:val="en-GB"/>
        </w:rPr>
        <w:t>ively</w:t>
      </w:r>
      <w:r w:rsidR="00180DFE" w:rsidRPr="00180DFE">
        <w:rPr>
          <w:rFonts w:asciiTheme="majorHAnsi" w:eastAsiaTheme="minorEastAsia" w:hAnsiTheme="majorHAnsi" w:cs="Arial"/>
          <w:sz w:val="20"/>
          <w:szCs w:val="20"/>
          <w:lang w:val="en-GB"/>
        </w:rPr>
        <w:t xml:space="preserve"> considers </w:t>
      </w:r>
      <w:r w:rsidR="00077DB6">
        <w:rPr>
          <w:rFonts w:asciiTheme="majorHAnsi" w:eastAsiaTheme="minorEastAsia" w:hAnsiTheme="majorHAnsi" w:cs="Arial"/>
          <w:sz w:val="20"/>
          <w:szCs w:val="20"/>
          <w:lang w:val="en-GB"/>
        </w:rPr>
        <w:t>research issues</w:t>
      </w:r>
      <w:r w:rsidR="00180DFE" w:rsidRPr="00180DFE">
        <w:rPr>
          <w:rFonts w:asciiTheme="majorHAnsi" w:eastAsiaTheme="minorEastAsia" w:hAnsiTheme="majorHAnsi" w:cs="Arial"/>
          <w:sz w:val="20"/>
          <w:szCs w:val="20"/>
          <w:lang w:val="en-GB"/>
        </w:rPr>
        <w:t xml:space="preserve"> in isolation, for the purposes of biotechnology transfer, this provides a simple matrix </w:t>
      </w:r>
      <w:r>
        <w:rPr>
          <w:rFonts w:asciiTheme="majorHAnsi" w:eastAsiaTheme="minorEastAsia" w:hAnsiTheme="majorHAnsi" w:cs="Arial"/>
          <w:sz w:val="20"/>
          <w:szCs w:val="20"/>
          <w:lang w:val="en-GB"/>
        </w:rPr>
        <w:t xml:space="preserve">that </w:t>
      </w:r>
      <w:r w:rsidR="00180DFE" w:rsidRPr="00180DFE">
        <w:rPr>
          <w:rFonts w:asciiTheme="majorHAnsi" w:eastAsiaTheme="minorEastAsia" w:hAnsiTheme="majorHAnsi" w:cs="Arial"/>
          <w:sz w:val="20"/>
          <w:szCs w:val="20"/>
          <w:lang w:val="en-GB"/>
        </w:rPr>
        <w:t>relate</w:t>
      </w:r>
      <w:r w:rsidR="002E732B">
        <w:rPr>
          <w:rFonts w:asciiTheme="majorHAnsi" w:eastAsiaTheme="minorEastAsia" w:hAnsiTheme="majorHAnsi" w:cs="Arial"/>
          <w:sz w:val="20"/>
          <w:szCs w:val="20"/>
          <w:lang w:val="en-GB"/>
        </w:rPr>
        <w:t>s</w:t>
      </w:r>
      <w:r w:rsidR="00180DFE" w:rsidRPr="00180DFE">
        <w:rPr>
          <w:rFonts w:asciiTheme="majorHAnsi" w:eastAsiaTheme="minorEastAsia" w:hAnsiTheme="majorHAnsi" w:cs="Arial"/>
          <w:sz w:val="20"/>
          <w:szCs w:val="20"/>
          <w:lang w:val="en-GB"/>
        </w:rPr>
        <w:t xml:space="preserve"> one level to </w:t>
      </w:r>
      <w:r w:rsidR="00E049B6" w:rsidRPr="00180DFE">
        <w:rPr>
          <w:rFonts w:asciiTheme="majorHAnsi" w:eastAsiaTheme="minorEastAsia" w:hAnsiTheme="majorHAnsi" w:cs="Arial"/>
          <w:sz w:val="20"/>
          <w:szCs w:val="20"/>
          <w:lang w:val="en-GB"/>
        </w:rPr>
        <w:t>another</w:t>
      </w:r>
      <w:r w:rsidR="00180DFE" w:rsidRPr="00180DFE">
        <w:rPr>
          <w:rFonts w:asciiTheme="majorHAnsi" w:eastAsiaTheme="minorEastAsia" w:hAnsiTheme="majorHAnsi" w:cs="Arial"/>
          <w:sz w:val="20"/>
          <w:szCs w:val="20"/>
          <w:lang w:val="en-GB"/>
        </w:rPr>
        <w:t xml:space="preserve"> </w:t>
      </w:r>
      <w:r w:rsidR="009F2447">
        <w:rPr>
          <w:rFonts w:asciiTheme="majorHAnsi" w:eastAsiaTheme="minorEastAsia" w:hAnsiTheme="majorHAnsi" w:cs="Arial"/>
          <w:sz w:val="20"/>
          <w:szCs w:val="20"/>
          <w:lang w:val="en-GB"/>
        </w:rPr>
        <w:t>and one step to the next</w:t>
      </w:r>
      <w:r w:rsidR="002E732B">
        <w:rPr>
          <w:rFonts w:asciiTheme="majorHAnsi" w:eastAsiaTheme="minorEastAsia" w:hAnsiTheme="majorHAnsi" w:cs="Arial"/>
          <w:sz w:val="20"/>
          <w:szCs w:val="20"/>
          <w:lang w:val="en-GB"/>
        </w:rPr>
        <w:t>. T</w:t>
      </w:r>
      <w:r w:rsidR="009F2447">
        <w:rPr>
          <w:rFonts w:asciiTheme="majorHAnsi" w:eastAsiaTheme="minorEastAsia" w:hAnsiTheme="majorHAnsi" w:cs="Arial"/>
          <w:sz w:val="20"/>
          <w:szCs w:val="20"/>
          <w:lang w:val="en-GB"/>
        </w:rPr>
        <w:t>his</w:t>
      </w:r>
      <w:r w:rsidR="00180DFE" w:rsidRPr="00180DFE">
        <w:rPr>
          <w:rFonts w:asciiTheme="majorHAnsi" w:eastAsiaTheme="minorEastAsia" w:hAnsiTheme="majorHAnsi" w:cs="Arial"/>
          <w:sz w:val="20"/>
          <w:szCs w:val="20"/>
          <w:lang w:val="en-GB"/>
        </w:rPr>
        <w:t xml:space="preserve"> </w:t>
      </w:r>
      <w:r>
        <w:rPr>
          <w:rFonts w:asciiTheme="majorHAnsi" w:eastAsiaTheme="minorEastAsia" w:hAnsiTheme="majorHAnsi" w:cs="Arial"/>
          <w:sz w:val="20"/>
          <w:szCs w:val="20"/>
          <w:lang w:val="en-GB"/>
        </w:rPr>
        <w:t xml:space="preserve">process </w:t>
      </w:r>
      <w:r w:rsidR="00180DFE" w:rsidRPr="00180DFE">
        <w:rPr>
          <w:rFonts w:asciiTheme="majorHAnsi" w:eastAsiaTheme="minorEastAsia" w:hAnsiTheme="majorHAnsi" w:cs="Arial"/>
          <w:sz w:val="20"/>
          <w:szCs w:val="20"/>
          <w:lang w:val="en-GB"/>
        </w:rPr>
        <w:t xml:space="preserve">may </w:t>
      </w:r>
      <w:r w:rsidR="00077DB6">
        <w:rPr>
          <w:rFonts w:asciiTheme="majorHAnsi" w:eastAsiaTheme="minorEastAsia" w:hAnsiTheme="majorHAnsi" w:cs="Arial"/>
          <w:sz w:val="20"/>
          <w:szCs w:val="20"/>
          <w:lang w:val="en-GB"/>
        </w:rPr>
        <w:t>require</w:t>
      </w:r>
      <w:r w:rsidR="00180DFE" w:rsidRPr="00180DFE">
        <w:rPr>
          <w:rFonts w:asciiTheme="majorHAnsi" w:eastAsiaTheme="minorEastAsia" w:hAnsiTheme="majorHAnsi" w:cs="Arial"/>
          <w:sz w:val="20"/>
          <w:szCs w:val="20"/>
          <w:lang w:val="en-GB"/>
        </w:rPr>
        <w:t xml:space="preserve"> demonstration of correlation</w:t>
      </w:r>
      <w:r w:rsidR="00077DB6">
        <w:rPr>
          <w:rFonts w:asciiTheme="majorHAnsi" w:eastAsiaTheme="minorEastAsia" w:hAnsiTheme="majorHAnsi" w:cs="Arial"/>
          <w:sz w:val="20"/>
          <w:szCs w:val="20"/>
          <w:lang w:val="en-GB"/>
        </w:rPr>
        <w:t>,</w:t>
      </w:r>
      <w:r w:rsidR="00180DFE" w:rsidRPr="00180DFE">
        <w:rPr>
          <w:rFonts w:asciiTheme="majorHAnsi" w:eastAsiaTheme="minorEastAsia" w:hAnsiTheme="majorHAnsi" w:cs="Arial"/>
          <w:sz w:val="20"/>
          <w:szCs w:val="20"/>
          <w:lang w:val="en-GB"/>
        </w:rPr>
        <w:t xml:space="preserve"> with experimental (empirical) data, or it may represent a transition across levels</w:t>
      </w:r>
      <w:r w:rsidR="00077DB6">
        <w:rPr>
          <w:rFonts w:asciiTheme="majorHAnsi" w:eastAsiaTheme="minorEastAsia" w:hAnsiTheme="majorHAnsi" w:cs="Arial"/>
          <w:sz w:val="20"/>
          <w:szCs w:val="20"/>
          <w:lang w:val="en-GB"/>
        </w:rPr>
        <w:t>,</w:t>
      </w:r>
      <w:r w:rsidR="00180DFE" w:rsidRPr="00180DFE">
        <w:rPr>
          <w:rFonts w:asciiTheme="majorHAnsi" w:eastAsiaTheme="minorEastAsia" w:hAnsiTheme="majorHAnsi" w:cs="Arial"/>
          <w:sz w:val="20"/>
          <w:szCs w:val="20"/>
          <w:lang w:val="en-GB"/>
        </w:rPr>
        <w:t xml:space="preserve"> which may be </w:t>
      </w:r>
      <w:r w:rsidR="00077DB6">
        <w:rPr>
          <w:rFonts w:asciiTheme="majorHAnsi" w:eastAsiaTheme="minorEastAsia" w:hAnsiTheme="majorHAnsi" w:cs="Arial"/>
          <w:sz w:val="20"/>
          <w:szCs w:val="20"/>
          <w:lang w:val="en-GB"/>
        </w:rPr>
        <w:t>of</w:t>
      </w:r>
      <w:r w:rsidR="00180DFE" w:rsidRPr="00180DFE">
        <w:rPr>
          <w:rFonts w:asciiTheme="majorHAnsi" w:eastAsiaTheme="minorEastAsia" w:hAnsiTheme="majorHAnsi" w:cs="Arial"/>
          <w:sz w:val="20"/>
          <w:szCs w:val="20"/>
          <w:lang w:val="en-GB"/>
        </w:rPr>
        <w:t xml:space="preserve"> scientific or administrative value.</w:t>
      </w:r>
    </w:p>
    <w:p w:rsidR="00972D81" w:rsidRDefault="00972D81" w:rsidP="00972D81">
      <w:pPr>
        <w:jc w:val="both"/>
        <w:rPr>
          <w:rFonts w:asciiTheme="majorHAnsi" w:eastAsiaTheme="minorEastAsia" w:hAnsiTheme="majorHAnsi" w:cs="Arial"/>
          <w:sz w:val="20"/>
          <w:szCs w:val="20"/>
          <w:lang w:val="en-GB"/>
        </w:rPr>
      </w:pPr>
    </w:p>
    <w:p w:rsidR="00077DB6" w:rsidRPr="00077DB6" w:rsidRDefault="00077DB6" w:rsidP="00972D81">
      <w:pPr>
        <w:jc w:val="both"/>
        <w:rPr>
          <w:rFonts w:asciiTheme="majorHAnsi" w:eastAsiaTheme="minorEastAsia" w:hAnsiTheme="majorHAnsi" w:cs="Arial"/>
          <w:b/>
          <w:sz w:val="20"/>
          <w:szCs w:val="20"/>
          <w:lang w:val="en-GB"/>
        </w:rPr>
      </w:pPr>
      <w:r w:rsidRPr="00077DB6">
        <w:rPr>
          <w:rFonts w:asciiTheme="majorHAnsi" w:eastAsiaTheme="minorEastAsia" w:hAnsiTheme="majorHAnsi" w:cs="Arial"/>
          <w:b/>
          <w:sz w:val="20"/>
          <w:szCs w:val="20"/>
          <w:lang w:val="en-GB"/>
        </w:rPr>
        <w:t>Validation</w:t>
      </w:r>
      <w:r>
        <w:rPr>
          <w:rFonts w:asciiTheme="majorHAnsi" w:eastAsiaTheme="minorEastAsia" w:hAnsiTheme="majorHAnsi" w:cs="Arial"/>
          <w:b/>
          <w:sz w:val="20"/>
          <w:szCs w:val="20"/>
          <w:lang w:val="en-GB"/>
        </w:rPr>
        <w:t xml:space="preserve"> &amp; Verification</w:t>
      </w:r>
    </w:p>
    <w:p w:rsidR="00180DFE" w:rsidRPr="00180DFE" w:rsidRDefault="00077DB6" w:rsidP="00ED3C60">
      <w:pPr>
        <w:ind w:firstLine="397"/>
        <w:jc w:val="both"/>
        <w:rPr>
          <w:rFonts w:asciiTheme="majorHAnsi" w:eastAsiaTheme="minorEastAsia" w:hAnsiTheme="majorHAnsi" w:cs="Arial"/>
          <w:sz w:val="20"/>
          <w:szCs w:val="20"/>
          <w:lang w:val="en-GB"/>
        </w:rPr>
      </w:pPr>
      <w:r>
        <w:rPr>
          <w:rFonts w:asciiTheme="majorHAnsi" w:eastAsiaTheme="minorEastAsia" w:hAnsiTheme="majorHAnsi" w:cs="Arial"/>
          <w:sz w:val="20"/>
          <w:szCs w:val="20"/>
          <w:lang w:val="en-GB"/>
        </w:rPr>
        <w:t>D</w:t>
      </w:r>
      <w:r w:rsidR="00180DFE" w:rsidRPr="00180DFE">
        <w:rPr>
          <w:rFonts w:asciiTheme="majorHAnsi" w:eastAsiaTheme="minorEastAsia" w:hAnsiTheme="majorHAnsi" w:cs="Arial"/>
          <w:sz w:val="20"/>
          <w:szCs w:val="20"/>
          <w:lang w:val="en-GB"/>
        </w:rPr>
        <w:t>evelopment of "soft" and "hard" gates is relevant to how we are building different translational research pipelines</w:t>
      </w:r>
      <w:r>
        <w:rPr>
          <w:rFonts w:asciiTheme="majorHAnsi" w:eastAsiaTheme="minorEastAsia" w:hAnsiTheme="majorHAnsi" w:cs="Arial"/>
          <w:sz w:val="20"/>
          <w:szCs w:val="20"/>
          <w:lang w:val="en-GB"/>
        </w:rPr>
        <w:t>. These</w:t>
      </w:r>
      <w:r w:rsidR="00180DFE" w:rsidRPr="00180DFE">
        <w:rPr>
          <w:rFonts w:asciiTheme="majorHAnsi" w:eastAsiaTheme="minorEastAsia" w:hAnsiTheme="majorHAnsi" w:cs="Arial"/>
          <w:sz w:val="20"/>
          <w:szCs w:val="20"/>
          <w:lang w:val="en-GB"/>
        </w:rPr>
        <w:t xml:space="preserve"> may alternately represent protocol development and testing, act</w:t>
      </w:r>
      <w:r w:rsidR="002E732B">
        <w:rPr>
          <w:rFonts w:asciiTheme="majorHAnsi" w:eastAsiaTheme="minorEastAsia" w:hAnsiTheme="majorHAnsi" w:cs="Arial"/>
          <w:sz w:val="20"/>
          <w:szCs w:val="20"/>
          <w:lang w:val="en-GB"/>
        </w:rPr>
        <w:t>ing</w:t>
      </w:r>
      <w:r w:rsidR="00180DFE" w:rsidRPr="00180DFE">
        <w:rPr>
          <w:rFonts w:asciiTheme="majorHAnsi" w:eastAsiaTheme="minorEastAsia" w:hAnsiTheme="majorHAnsi" w:cs="Arial"/>
          <w:sz w:val="20"/>
          <w:szCs w:val="20"/>
          <w:lang w:val="en-GB"/>
        </w:rPr>
        <w:t xml:space="preserve"> as a coordinating force to ensure that subsystems are brought "online" at an appropriate </w:t>
      </w:r>
      <w:r w:rsidR="008033BE">
        <w:rPr>
          <w:rFonts w:asciiTheme="majorHAnsi" w:eastAsiaTheme="minorEastAsia" w:hAnsiTheme="majorHAnsi" w:cs="Arial"/>
          <w:sz w:val="20"/>
          <w:szCs w:val="20"/>
          <w:lang w:val="en-GB"/>
        </w:rPr>
        <w:t>rate</w:t>
      </w:r>
      <w:r w:rsidR="00180DFE" w:rsidRPr="00180DFE">
        <w:rPr>
          <w:rFonts w:asciiTheme="majorHAnsi" w:eastAsiaTheme="minorEastAsia" w:hAnsiTheme="majorHAnsi" w:cs="Arial"/>
          <w:sz w:val="20"/>
          <w:szCs w:val="20"/>
          <w:lang w:val="en-GB"/>
        </w:rPr>
        <w:t xml:space="preserve"> for their integration and ultimate interoperability.</w:t>
      </w:r>
      <w:r w:rsidR="009F2447">
        <w:rPr>
          <w:rFonts w:asciiTheme="majorHAnsi" w:eastAsiaTheme="minorEastAsia" w:hAnsiTheme="majorHAnsi" w:cs="Arial"/>
          <w:sz w:val="20"/>
          <w:szCs w:val="20"/>
          <w:lang w:val="en-GB"/>
        </w:rPr>
        <w:t xml:space="preserve"> These </w:t>
      </w:r>
      <w:r w:rsidR="00FB6AB4">
        <w:rPr>
          <w:rFonts w:asciiTheme="majorHAnsi" w:eastAsiaTheme="minorEastAsia" w:hAnsiTheme="majorHAnsi" w:cs="Arial"/>
          <w:sz w:val="20"/>
          <w:szCs w:val="20"/>
          <w:lang w:val="en-GB"/>
        </w:rPr>
        <w:t>“</w:t>
      </w:r>
      <w:r w:rsidR="009F2447">
        <w:rPr>
          <w:rFonts w:asciiTheme="majorHAnsi" w:eastAsiaTheme="minorEastAsia" w:hAnsiTheme="majorHAnsi" w:cs="Arial"/>
          <w:sz w:val="20"/>
          <w:szCs w:val="20"/>
          <w:lang w:val="en-GB"/>
        </w:rPr>
        <w:t>soft</w:t>
      </w:r>
      <w:r w:rsidR="00FB6AB4">
        <w:rPr>
          <w:rFonts w:asciiTheme="majorHAnsi" w:eastAsiaTheme="minorEastAsia" w:hAnsiTheme="majorHAnsi" w:cs="Arial"/>
          <w:sz w:val="20"/>
          <w:szCs w:val="20"/>
          <w:lang w:val="en-GB"/>
        </w:rPr>
        <w:t>”</w:t>
      </w:r>
      <w:r w:rsidR="009F2447">
        <w:rPr>
          <w:rFonts w:asciiTheme="majorHAnsi" w:eastAsiaTheme="minorEastAsia" w:hAnsiTheme="majorHAnsi" w:cs="Arial"/>
          <w:sz w:val="20"/>
          <w:szCs w:val="20"/>
          <w:lang w:val="en-GB"/>
        </w:rPr>
        <w:t xml:space="preserve"> gates warrant internal peer review only, compared wi</w:t>
      </w:r>
      <w:r w:rsidR="00FB6AB4">
        <w:rPr>
          <w:rFonts w:asciiTheme="majorHAnsi" w:eastAsiaTheme="minorEastAsia" w:hAnsiTheme="majorHAnsi" w:cs="Arial"/>
          <w:sz w:val="20"/>
          <w:szCs w:val="20"/>
          <w:lang w:val="en-GB"/>
        </w:rPr>
        <w:t>th external peer review at the “</w:t>
      </w:r>
      <w:r w:rsidR="009F2447">
        <w:rPr>
          <w:rFonts w:asciiTheme="majorHAnsi" w:eastAsiaTheme="minorEastAsia" w:hAnsiTheme="majorHAnsi" w:cs="Arial"/>
          <w:sz w:val="20"/>
          <w:szCs w:val="20"/>
          <w:lang w:val="en-GB"/>
        </w:rPr>
        <w:t>hard</w:t>
      </w:r>
      <w:r w:rsidR="00FB6AB4">
        <w:rPr>
          <w:rFonts w:asciiTheme="majorHAnsi" w:eastAsiaTheme="minorEastAsia" w:hAnsiTheme="majorHAnsi" w:cs="Arial"/>
          <w:sz w:val="20"/>
          <w:szCs w:val="20"/>
          <w:lang w:val="en-GB"/>
        </w:rPr>
        <w:t>”</w:t>
      </w:r>
      <w:r w:rsidR="009F2447">
        <w:rPr>
          <w:rFonts w:asciiTheme="majorHAnsi" w:eastAsiaTheme="minorEastAsia" w:hAnsiTheme="majorHAnsi" w:cs="Arial"/>
          <w:sz w:val="20"/>
          <w:szCs w:val="20"/>
          <w:lang w:val="en-GB"/>
        </w:rPr>
        <w:t xml:space="preserve"> gates </w:t>
      </w:r>
      <w:r w:rsidR="002E732B">
        <w:rPr>
          <w:rFonts w:asciiTheme="majorHAnsi" w:eastAsiaTheme="minorEastAsia" w:hAnsiTheme="majorHAnsi" w:cs="Arial"/>
          <w:sz w:val="20"/>
          <w:szCs w:val="20"/>
          <w:lang w:val="en-GB"/>
        </w:rPr>
        <w:t>such as requesting</w:t>
      </w:r>
      <w:r w:rsidR="009F2447">
        <w:rPr>
          <w:rFonts w:asciiTheme="majorHAnsi" w:eastAsiaTheme="minorEastAsia" w:hAnsiTheme="majorHAnsi" w:cs="Arial"/>
          <w:sz w:val="20"/>
          <w:szCs w:val="20"/>
          <w:lang w:val="en-GB"/>
        </w:rPr>
        <w:t xml:space="preserve"> ethical </w:t>
      </w:r>
      <w:r w:rsidR="00E049B6">
        <w:rPr>
          <w:rFonts w:asciiTheme="majorHAnsi" w:eastAsiaTheme="minorEastAsia" w:hAnsiTheme="majorHAnsi" w:cs="Arial"/>
          <w:sz w:val="20"/>
          <w:szCs w:val="20"/>
          <w:lang w:val="en-GB"/>
        </w:rPr>
        <w:t>opinion</w:t>
      </w:r>
      <w:r w:rsidR="00FB6AB4">
        <w:rPr>
          <w:rFonts w:asciiTheme="majorHAnsi" w:eastAsiaTheme="minorEastAsia" w:hAnsiTheme="majorHAnsi" w:cs="Arial"/>
          <w:sz w:val="20"/>
          <w:szCs w:val="20"/>
          <w:lang w:val="en-GB"/>
        </w:rPr>
        <w:t xml:space="preserve"> or</w:t>
      </w:r>
      <w:r w:rsidR="009F2447">
        <w:rPr>
          <w:rFonts w:asciiTheme="majorHAnsi" w:eastAsiaTheme="minorEastAsia" w:hAnsiTheme="majorHAnsi" w:cs="Arial"/>
          <w:sz w:val="20"/>
          <w:szCs w:val="20"/>
          <w:lang w:val="en-GB"/>
        </w:rPr>
        <w:t xml:space="preserve"> sponsor approvals.</w:t>
      </w:r>
    </w:p>
    <w:p w:rsidR="00180DFE" w:rsidRPr="00180DFE" w:rsidRDefault="00180DFE" w:rsidP="00ED3C60">
      <w:pPr>
        <w:ind w:firstLine="397"/>
        <w:jc w:val="both"/>
        <w:rPr>
          <w:rFonts w:asciiTheme="majorHAnsi" w:eastAsiaTheme="minorEastAsia" w:hAnsiTheme="majorHAnsi" w:cs="Arial"/>
          <w:sz w:val="20"/>
          <w:szCs w:val="20"/>
          <w:lang w:val="en-GB"/>
        </w:rPr>
      </w:pPr>
      <w:r w:rsidRPr="00180DFE">
        <w:rPr>
          <w:rFonts w:asciiTheme="majorHAnsi" w:eastAsiaTheme="minorEastAsia" w:hAnsiTheme="majorHAnsi" w:cs="Arial"/>
          <w:sz w:val="20"/>
          <w:szCs w:val="20"/>
          <w:lang w:val="en-GB"/>
        </w:rPr>
        <w:t>Tempered with these approaches</w:t>
      </w:r>
      <w:r w:rsidR="008033BE">
        <w:rPr>
          <w:rFonts w:asciiTheme="majorHAnsi" w:eastAsiaTheme="minorEastAsia" w:hAnsiTheme="majorHAnsi" w:cs="Arial"/>
          <w:sz w:val="20"/>
          <w:szCs w:val="20"/>
          <w:lang w:val="en-GB"/>
        </w:rPr>
        <w:t>,</w:t>
      </w:r>
      <w:r w:rsidRPr="00180DFE">
        <w:rPr>
          <w:rFonts w:asciiTheme="majorHAnsi" w:eastAsiaTheme="minorEastAsia" w:hAnsiTheme="majorHAnsi" w:cs="Arial"/>
          <w:sz w:val="20"/>
          <w:szCs w:val="20"/>
          <w:lang w:val="en-GB"/>
        </w:rPr>
        <w:t xml:space="preserve"> is the need to build in risk assessment a</w:t>
      </w:r>
      <w:r w:rsidR="008033BE">
        <w:rPr>
          <w:rFonts w:asciiTheme="majorHAnsi" w:eastAsiaTheme="minorEastAsia" w:hAnsiTheme="majorHAnsi" w:cs="Arial"/>
          <w:sz w:val="20"/>
          <w:szCs w:val="20"/>
          <w:lang w:val="en-GB"/>
        </w:rPr>
        <w:t>t</w:t>
      </w:r>
      <w:r w:rsidRPr="00180DFE">
        <w:rPr>
          <w:rFonts w:asciiTheme="majorHAnsi" w:eastAsiaTheme="minorEastAsia" w:hAnsiTheme="majorHAnsi" w:cs="Arial"/>
          <w:sz w:val="20"/>
          <w:szCs w:val="20"/>
          <w:lang w:val="en-GB"/>
        </w:rPr>
        <w:t xml:space="preserve"> various stages in accordance with the criteria to meet necessary governance regulations.</w:t>
      </w:r>
      <w:r w:rsidR="00481EE7">
        <w:rPr>
          <w:rFonts w:asciiTheme="majorHAnsi" w:eastAsiaTheme="minorEastAsia" w:hAnsiTheme="majorHAnsi" w:cs="Arial"/>
          <w:sz w:val="20"/>
          <w:szCs w:val="20"/>
          <w:lang w:val="en-GB"/>
        </w:rPr>
        <w:t xml:space="preserve"> </w:t>
      </w:r>
      <w:r w:rsidR="008033BE">
        <w:rPr>
          <w:rFonts w:asciiTheme="majorHAnsi" w:eastAsiaTheme="minorEastAsia" w:hAnsiTheme="majorHAnsi" w:cs="Arial"/>
          <w:sz w:val="20"/>
          <w:szCs w:val="20"/>
          <w:lang w:val="en-GB"/>
        </w:rPr>
        <w:t>P</w:t>
      </w:r>
      <w:r w:rsidRPr="00180DFE">
        <w:rPr>
          <w:rFonts w:asciiTheme="majorHAnsi" w:eastAsiaTheme="minorEastAsia" w:hAnsiTheme="majorHAnsi" w:cs="Arial"/>
          <w:sz w:val="20"/>
          <w:szCs w:val="20"/>
          <w:lang w:val="en-GB"/>
        </w:rPr>
        <w:t>rogressing to</w:t>
      </w:r>
      <w:r w:rsidR="009F2447">
        <w:rPr>
          <w:rFonts w:asciiTheme="majorHAnsi" w:eastAsiaTheme="minorEastAsia" w:hAnsiTheme="majorHAnsi" w:cs="Arial"/>
          <w:sz w:val="20"/>
          <w:szCs w:val="20"/>
          <w:lang w:val="en-GB"/>
        </w:rPr>
        <w:t xml:space="preserve"> the stage where modular system</w:t>
      </w:r>
      <w:r w:rsidRPr="00180DFE">
        <w:rPr>
          <w:rFonts w:asciiTheme="majorHAnsi" w:eastAsiaTheme="minorEastAsia" w:hAnsiTheme="majorHAnsi" w:cs="Arial"/>
          <w:sz w:val="20"/>
          <w:szCs w:val="20"/>
          <w:lang w:val="en-GB"/>
        </w:rPr>
        <w:t>s design and development is normal</w:t>
      </w:r>
      <w:r w:rsidR="008033BE">
        <w:rPr>
          <w:rFonts w:asciiTheme="majorHAnsi" w:eastAsiaTheme="minorEastAsia" w:hAnsiTheme="majorHAnsi" w:cs="Arial"/>
          <w:sz w:val="20"/>
          <w:szCs w:val="20"/>
          <w:lang w:val="en-GB"/>
        </w:rPr>
        <w:t xml:space="preserve">, </w:t>
      </w:r>
      <w:r w:rsidRPr="00180DFE">
        <w:rPr>
          <w:rFonts w:asciiTheme="majorHAnsi" w:eastAsiaTheme="minorEastAsia" w:hAnsiTheme="majorHAnsi" w:cs="Arial"/>
          <w:sz w:val="20"/>
          <w:szCs w:val="20"/>
          <w:lang w:val="en-GB"/>
        </w:rPr>
        <w:t>simple systems become complex, so t</w:t>
      </w:r>
      <w:r w:rsidR="008033BE">
        <w:rPr>
          <w:rFonts w:asciiTheme="majorHAnsi" w:eastAsiaTheme="minorEastAsia" w:hAnsiTheme="majorHAnsi" w:cs="Arial"/>
          <w:sz w:val="20"/>
          <w:szCs w:val="20"/>
          <w:lang w:val="en-GB"/>
        </w:rPr>
        <w:t>o</w:t>
      </w:r>
      <w:r w:rsidRPr="00180DFE">
        <w:rPr>
          <w:rFonts w:asciiTheme="majorHAnsi" w:eastAsiaTheme="minorEastAsia" w:hAnsiTheme="majorHAnsi" w:cs="Arial"/>
          <w:sz w:val="20"/>
          <w:szCs w:val="20"/>
          <w:lang w:val="en-GB"/>
        </w:rPr>
        <w:t>o</w:t>
      </w:r>
      <w:r w:rsidR="008033BE">
        <w:rPr>
          <w:rFonts w:asciiTheme="majorHAnsi" w:eastAsiaTheme="minorEastAsia" w:hAnsiTheme="majorHAnsi" w:cs="Arial"/>
          <w:sz w:val="20"/>
          <w:szCs w:val="20"/>
          <w:lang w:val="en-GB"/>
        </w:rPr>
        <w:t>,</w:t>
      </w:r>
      <w:r w:rsidRPr="00180DFE">
        <w:rPr>
          <w:rFonts w:asciiTheme="majorHAnsi" w:eastAsiaTheme="minorEastAsia" w:hAnsiTheme="majorHAnsi" w:cs="Arial"/>
          <w:sz w:val="20"/>
          <w:szCs w:val="20"/>
          <w:lang w:val="en-GB"/>
        </w:rPr>
        <w:t xml:space="preserve"> the complex systems </w:t>
      </w:r>
      <w:r w:rsidR="002E732B" w:rsidRPr="00180DFE">
        <w:rPr>
          <w:rFonts w:asciiTheme="majorHAnsi" w:eastAsiaTheme="minorEastAsia" w:hAnsiTheme="majorHAnsi" w:cs="Arial"/>
          <w:sz w:val="20"/>
          <w:szCs w:val="20"/>
          <w:lang w:val="en-GB"/>
        </w:rPr>
        <w:t xml:space="preserve">on </w:t>
      </w:r>
      <w:r w:rsidRPr="00180DFE">
        <w:rPr>
          <w:rFonts w:asciiTheme="majorHAnsi" w:eastAsiaTheme="minorEastAsia" w:hAnsiTheme="majorHAnsi" w:cs="Arial"/>
          <w:sz w:val="20"/>
          <w:szCs w:val="20"/>
          <w:lang w:val="en-GB"/>
        </w:rPr>
        <w:t xml:space="preserve">which </w:t>
      </w:r>
      <w:r w:rsidR="008033BE">
        <w:rPr>
          <w:rFonts w:asciiTheme="majorHAnsi" w:eastAsiaTheme="minorEastAsia" w:hAnsiTheme="majorHAnsi" w:cs="Arial"/>
          <w:sz w:val="20"/>
          <w:szCs w:val="20"/>
          <w:lang w:val="en-GB"/>
        </w:rPr>
        <w:t xml:space="preserve">these </w:t>
      </w:r>
      <w:r w:rsidRPr="00180DFE">
        <w:rPr>
          <w:rFonts w:asciiTheme="majorHAnsi" w:eastAsiaTheme="minorEastAsia" w:hAnsiTheme="majorHAnsi" w:cs="Arial"/>
          <w:sz w:val="20"/>
          <w:szCs w:val="20"/>
          <w:lang w:val="en-GB"/>
        </w:rPr>
        <w:t>depend</w:t>
      </w:r>
      <w:r w:rsidR="00FB6AB4">
        <w:rPr>
          <w:rFonts w:asciiTheme="majorHAnsi" w:eastAsiaTheme="minorEastAsia" w:hAnsiTheme="majorHAnsi" w:cs="Arial"/>
          <w:sz w:val="20"/>
          <w:szCs w:val="20"/>
          <w:lang w:val="en-GB"/>
        </w:rPr>
        <w:t>,</w:t>
      </w:r>
      <w:r w:rsidRPr="00180DFE">
        <w:rPr>
          <w:rFonts w:asciiTheme="majorHAnsi" w:eastAsiaTheme="minorEastAsia" w:hAnsiTheme="majorHAnsi" w:cs="Arial"/>
          <w:sz w:val="20"/>
          <w:szCs w:val="20"/>
          <w:lang w:val="en-GB"/>
        </w:rPr>
        <w:t xml:space="preserve"> become complicated</w:t>
      </w:r>
      <w:r w:rsidR="002E732B">
        <w:rPr>
          <w:rFonts w:asciiTheme="majorHAnsi" w:eastAsiaTheme="minorEastAsia" w:hAnsiTheme="majorHAnsi" w:cs="Arial"/>
          <w:sz w:val="20"/>
          <w:szCs w:val="20"/>
          <w:lang w:val="en-GB"/>
        </w:rPr>
        <w:t>,</w:t>
      </w:r>
      <w:r w:rsidRPr="00180DFE">
        <w:rPr>
          <w:rFonts w:asciiTheme="majorHAnsi" w:eastAsiaTheme="minorEastAsia" w:hAnsiTheme="majorHAnsi" w:cs="Arial"/>
          <w:sz w:val="20"/>
          <w:szCs w:val="20"/>
          <w:lang w:val="en-GB"/>
        </w:rPr>
        <w:t xml:space="preserve"> </w:t>
      </w:r>
      <w:r w:rsidR="008033BE">
        <w:rPr>
          <w:rFonts w:asciiTheme="majorHAnsi" w:eastAsiaTheme="minorEastAsia" w:hAnsiTheme="majorHAnsi" w:cs="Arial"/>
          <w:sz w:val="20"/>
          <w:szCs w:val="20"/>
          <w:lang w:val="en-GB"/>
        </w:rPr>
        <w:t>a</w:t>
      </w:r>
      <w:r w:rsidR="00FB6AB4">
        <w:rPr>
          <w:rFonts w:asciiTheme="majorHAnsi" w:eastAsiaTheme="minorEastAsia" w:hAnsiTheme="majorHAnsi" w:cs="Arial"/>
          <w:sz w:val="20"/>
          <w:szCs w:val="20"/>
          <w:lang w:val="en-GB"/>
        </w:rPr>
        <w:t xml:space="preserve">s they rely </w:t>
      </w:r>
      <w:r w:rsidRPr="00180DFE">
        <w:rPr>
          <w:rFonts w:asciiTheme="majorHAnsi" w:eastAsiaTheme="minorEastAsia" w:hAnsiTheme="majorHAnsi" w:cs="Arial"/>
          <w:sz w:val="20"/>
          <w:szCs w:val="20"/>
          <w:lang w:val="en-GB"/>
        </w:rPr>
        <w:t>on interaction</w:t>
      </w:r>
      <w:r w:rsidR="00FB6AB4">
        <w:rPr>
          <w:rFonts w:asciiTheme="majorHAnsi" w:eastAsiaTheme="minorEastAsia" w:hAnsiTheme="majorHAnsi" w:cs="Arial"/>
          <w:sz w:val="20"/>
          <w:szCs w:val="20"/>
          <w:lang w:val="en-GB"/>
        </w:rPr>
        <w:t>s</w:t>
      </w:r>
      <w:r w:rsidRPr="00180DFE">
        <w:rPr>
          <w:rFonts w:asciiTheme="majorHAnsi" w:eastAsiaTheme="minorEastAsia" w:hAnsiTheme="majorHAnsi" w:cs="Arial"/>
          <w:sz w:val="20"/>
          <w:szCs w:val="20"/>
          <w:lang w:val="en-GB"/>
        </w:rPr>
        <w:t xml:space="preserve"> with other components.</w:t>
      </w:r>
    </w:p>
    <w:p w:rsidR="00180DFE" w:rsidRPr="00180DFE" w:rsidRDefault="00180DFE" w:rsidP="00ED3C60">
      <w:pPr>
        <w:ind w:firstLine="397"/>
        <w:jc w:val="both"/>
        <w:rPr>
          <w:rFonts w:asciiTheme="majorHAnsi" w:eastAsiaTheme="minorEastAsia" w:hAnsiTheme="majorHAnsi" w:cs="Arial"/>
          <w:sz w:val="20"/>
          <w:szCs w:val="20"/>
          <w:lang w:val="en-GB"/>
        </w:rPr>
      </w:pPr>
      <w:r w:rsidRPr="00180DFE">
        <w:rPr>
          <w:rFonts w:asciiTheme="majorHAnsi" w:eastAsiaTheme="minorEastAsia" w:hAnsiTheme="majorHAnsi" w:cs="Arial"/>
          <w:sz w:val="20"/>
          <w:szCs w:val="20"/>
          <w:lang w:val="en-GB"/>
        </w:rPr>
        <w:t xml:space="preserve">Indeed there are some situations which are so complicated that the only rational approach to </w:t>
      </w:r>
      <w:r w:rsidR="002E732B">
        <w:rPr>
          <w:rFonts w:asciiTheme="majorHAnsi" w:eastAsiaTheme="minorEastAsia" w:hAnsiTheme="majorHAnsi" w:cs="Arial"/>
          <w:sz w:val="20"/>
          <w:szCs w:val="20"/>
          <w:lang w:val="en-GB"/>
        </w:rPr>
        <w:t>this</w:t>
      </w:r>
      <w:r w:rsidRPr="00180DFE">
        <w:rPr>
          <w:rFonts w:asciiTheme="majorHAnsi" w:eastAsiaTheme="minorEastAsia" w:hAnsiTheme="majorHAnsi" w:cs="Arial"/>
          <w:sz w:val="20"/>
          <w:szCs w:val="20"/>
          <w:lang w:val="en-GB"/>
        </w:rPr>
        <w:t xml:space="preserve"> chaotic environment</w:t>
      </w:r>
      <w:r w:rsidR="002E732B">
        <w:rPr>
          <w:rFonts w:asciiTheme="majorHAnsi" w:eastAsiaTheme="minorEastAsia" w:hAnsiTheme="majorHAnsi" w:cs="Arial"/>
          <w:sz w:val="20"/>
          <w:szCs w:val="20"/>
          <w:lang w:val="en-GB"/>
        </w:rPr>
        <w:t>,</w:t>
      </w:r>
      <w:r w:rsidRPr="00180DFE">
        <w:rPr>
          <w:rFonts w:asciiTheme="majorHAnsi" w:eastAsiaTheme="minorEastAsia" w:hAnsiTheme="majorHAnsi" w:cs="Arial"/>
          <w:sz w:val="20"/>
          <w:szCs w:val="20"/>
          <w:lang w:val="en-GB"/>
        </w:rPr>
        <w:t xml:space="preserve"> </w:t>
      </w:r>
      <w:r w:rsidR="008033BE">
        <w:rPr>
          <w:rFonts w:asciiTheme="majorHAnsi" w:eastAsiaTheme="minorEastAsia" w:hAnsiTheme="majorHAnsi" w:cs="Arial"/>
          <w:sz w:val="20"/>
          <w:szCs w:val="20"/>
          <w:lang w:val="en-GB"/>
        </w:rPr>
        <w:t xml:space="preserve">such as the global ‘race’ to meet the next ‘grand challenge’, </w:t>
      </w:r>
      <w:r w:rsidRPr="00180DFE">
        <w:rPr>
          <w:rFonts w:asciiTheme="majorHAnsi" w:eastAsiaTheme="minorEastAsia" w:hAnsiTheme="majorHAnsi" w:cs="Arial"/>
          <w:sz w:val="20"/>
          <w:szCs w:val="20"/>
          <w:lang w:val="en-GB"/>
        </w:rPr>
        <w:t>is to r</w:t>
      </w:r>
      <w:r w:rsidR="009F2447">
        <w:rPr>
          <w:rFonts w:asciiTheme="majorHAnsi" w:eastAsiaTheme="minorEastAsia" w:hAnsiTheme="majorHAnsi" w:cs="Arial"/>
          <w:sz w:val="20"/>
          <w:szCs w:val="20"/>
          <w:lang w:val="en-GB"/>
        </w:rPr>
        <w:t xml:space="preserve">un parallel paths </w:t>
      </w:r>
      <w:r w:rsidR="008033BE">
        <w:rPr>
          <w:rFonts w:asciiTheme="majorHAnsi" w:eastAsiaTheme="minorEastAsia" w:hAnsiTheme="majorHAnsi" w:cs="Arial"/>
          <w:sz w:val="20"/>
          <w:szCs w:val="20"/>
          <w:lang w:val="en-GB"/>
        </w:rPr>
        <w:t xml:space="preserve">of development </w:t>
      </w:r>
      <w:r w:rsidR="002E732B">
        <w:rPr>
          <w:rFonts w:asciiTheme="majorHAnsi" w:eastAsiaTheme="minorEastAsia" w:hAnsiTheme="majorHAnsi" w:cs="Arial"/>
          <w:sz w:val="20"/>
          <w:szCs w:val="20"/>
          <w:lang w:val="en-GB"/>
        </w:rPr>
        <w:t>-</w:t>
      </w:r>
      <w:r w:rsidRPr="00180DFE">
        <w:rPr>
          <w:rFonts w:asciiTheme="majorHAnsi" w:eastAsiaTheme="minorEastAsia" w:hAnsiTheme="majorHAnsi" w:cs="Arial"/>
          <w:sz w:val="20"/>
          <w:szCs w:val="20"/>
          <w:lang w:val="en-GB"/>
        </w:rPr>
        <w:t xml:space="preserve"> to ultimately </w:t>
      </w:r>
      <w:r w:rsidR="008033BE">
        <w:rPr>
          <w:rFonts w:asciiTheme="majorHAnsi" w:eastAsiaTheme="minorEastAsia" w:hAnsiTheme="majorHAnsi" w:cs="Arial"/>
          <w:sz w:val="20"/>
          <w:szCs w:val="20"/>
          <w:lang w:val="en-GB"/>
        </w:rPr>
        <w:t>support</w:t>
      </w:r>
      <w:r w:rsidRPr="00180DFE">
        <w:rPr>
          <w:rFonts w:asciiTheme="majorHAnsi" w:eastAsiaTheme="minorEastAsia" w:hAnsiTheme="majorHAnsi" w:cs="Arial"/>
          <w:sz w:val="20"/>
          <w:szCs w:val="20"/>
          <w:lang w:val="en-GB"/>
        </w:rPr>
        <w:t xml:space="preserve"> the best of breed</w:t>
      </w:r>
      <w:r w:rsidR="008033BE">
        <w:rPr>
          <w:rFonts w:asciiTheme="majorHAnsi" w:eastAsiaTheme="minorEastAsia" w:hAnsiTheme="majorHAnsi" w:cs="Arial"/>
          <w:sz w:val="20"/>
          <w:szCs w:val="20"/>
          <w:lang w:val="en-GB"/>
        </w:rPr>
        <w:t>,</w:t>
      </w:r>
      <w:r w:rsidRPr="00180DFE">
        <w:rPr>
          <w:rFonts w:asciiTheme="majorHAnsi" w:eastAsiaTheme="minorEastAsia" w:hAnsiTheme="majorHAnsi" w:cs="Arial"/>
          <w:sz w:val="20"/>
          <w:szCs w:val="20"/>
          <w:lang w:val="en-GB"/>
        </w:rPr>
        <w:t xml:space="preserve"> which ultimately appears as a clear leader.</w:t>
      </w:r>
    </w:p>
    <w:p w:rsidR="00180DFE" w:rsidRDefault="009F2447" w:rsidP="00ED3C60">
      <w:pPr>
        <w:ind w:firstLine="397"/>
        <w:jc w:val="both"/>
        <w:rPr>
          <w:rFonts w:asciiTheme="majorHAnsi" w:eastAsiaTheme="minorEastAsia" w:hAnsiTheme="majorHAnsi" w:cs="Arial"/>
          <w:sz w:val="20"/>
          <w:szCs w:val="20"/>
          <w:lang w:val="en-GB"/>
        </w:rPr>
      </w:pPr>
      <w:r>
        <w:rPr>
          <w:rFonts w:asciiTheme="majorHAnsi" w:eastAsiaTheme="minorEastAsia" w:hAnsiTheme="majorHAnsi" w:cs="Arial"/>
          <w:sz w:val="20"/>
          <w:szCs w:val="20"/>
          <w:lang w:val="en-GB"/>
        </w:rPr>
        <w:t>T</w:t>
      </w:r>
      <w:r w:rsidR="00180DFE" w:rsidRPr="00180DFE">
        <w:rPr>
          <w:rFonts w:asciiTheme="majorHAnsi" w:eastAsiaTheme="minorEastAsia" w:hAnsiTheme="majorHAnsi" w:cs="Arial"/>
          <w:sz w:val="20"/>
          <w:szCs w:val="20"/>
          <w:lang w:val="en-GB"/>
        </w:rPr>
        <w:t xml:space="preserve">his is the approach adopted by funding agencies, </w:t>
      </w:r>
      <w:r w:rsidR="008033BE" w:rsidRPr="008033BE">
        <w:rPr>
          <w:rFonts w:asciiTheme="majorHAnsi" w:eastAsiaTheme="minorEastAsia" w:hAnsiTheme="majorHAnsi" w:cs="Arial"/>
          <w:i/>
          <w:sz w:val="20"/>
          <w:szCs w:val="20"/>
          <w:lang w:val="en-GB"/>
        </w:rPr>
        <w:t>i.e.</w:t>
      </w:r>
      <w:r w:rsidR="008033BE">
        <w:rPr>
          <w:rFonts w:asciiTheme="majorHAnsi" w:eastAsiaTheme="minorEastAsia" w:hAnsiTheme="majorHAnsi" w:cs="Arial"/>
          <w:sz w:val="20"/>
          <w:szCs w:val="20"/>
          <w:lang w:val="en-GB"/>
        </w:rPr>
        <w:t xml:space="preserve"> </w:t>
      </w:r>
      <w:r w:rsidR="00180DFE" w:rsidRPr="00180DFE">
        <w:rPr>
          <w:rFonts w:asciiTheme="majorHAnsi" w:eastAsiaTheme="minorEastAsia" w:hAnsiTheme="majorHAnsi" w:cs="Arial"/>
          <w:sz w:val="20"/>
          <w:szCs w:val="20"/>
          <w:lang w:val="en-GB"/>
        </w:rPr>
        <w:t>no single group can work in isolated academic</w:t>
      </w:r>
      <w:r w:rsidR="008033BE">
        <w:rPr>
          <w:rFonts w:asciiTheme="majorHAnsi" w:eastAsiaTheme="minorEastAsia" w:hAnsiTheme="majorHAnsi" w:cs="Arial"/>
          <w:sz w:val="20"/>
          <w:szCs w:val="20"/>
          <w:lang w:val="en-GB"/>
        </w:rPr>
        <w:t xml:space="preserve"> </w:t>
      </w:r>
      <w:r w:rsidR="00180DFE" w:rsidRPr="00180DFE">
        <w:rPr>
          <w:rFonts w:asciiTheme="majorHAnsi" w:eastAsiaTheme="minorEastAsia" w:hAnsiTheme="majorHAnsi" w:cs="Arial"/>
          <w:sz w:val="20"/>
          <w:szCs w:val="20"/>
          <w:lang w:val="en-GB"/>
        </w:rPr>
        <w:t>s</w:t>
      </w:r>
      <w:r w:rsidR="008033BE">
        <w:rPr>
          <w:rFonts w:asciiTheme="majorHAnsi" w:eastAsiaTheme="minorEastAsia" w:hAnsiTheme="majorHAnsi" w:cs="Arial"/>
          <w:sz w:val="20"/>
          <w:szCs w:val="20"/>
          <w:lang w:val="en-GB"/>
        </w:rPr>
        <w:t>plendour</w:t>
      </w:r>
      <w:r w:rsidR="00180DFE" w:rsidRPr="00180DFE">
        <w:rPr>
          <w:rFonts w:asciiTheme="majorHAnsi" w:eastAsiaTheme="minorEastAsia" w:hAnsiTheme="majorHAnsi" w:cs="Arial"/>
          <w:sz w:val="20"/>
          <w:szCs w:val="20"/>
          <w:lang w:val="en-GB"/>
        </w:rPr>
        <w:t xml:space="preserve">. It is </w:t>
      </w:r>
      <w:r w:rsidR="002E732B">
        <w:rPr>
          <w:rFonts w:asciiTheme="majorHAnsi" w:eastAsiaTheme="minorEastAsia" w:hAnsiTheme="majorHAnsi" w:cs="Arial"/>
          <w:sz w:val="20"/>
          <w:szCs w:val="20"/>
          <w:lang w:val="en-GB"/>
        </w:rPr>
        <w:t xml:space="preserve">therefore </w:t>
      </w:r>
      <w:r w:rsidR="00180DFE" w:rsidRPr="00180DFE">
        <w:rPr>
          <w:rFonts w:asciiTheme="majorHAnsi" w:eastAsiaTheme="minorEastAsia" w:hAnsiTheme="majorHAnsi" w:cs="Arial"/>
          <w:sz w:val="20"/>
          <w:szCs w:val="20"/>
          <w:lang w:val="en-GB"/>
        </w:rPr>
        <w:t xml:space="preserve">the ability to convene multidisciplinary teams with the minimum resource </w:t>
      </w:r>
      <w:r w:rsidR="008033BE">
        <w:rPr>
          <w:rFonts w:asciiTheme="majorHAnsi" w:eastAsiaTheme="minorEastAsia" w:hAnsiTheme="majorHAnsi" w:cs="Arial"/>
          <w:sz w:val="20"/>
          <w:szCs w:val="20"/>
          <w:lang w:val="en-GB"/>
        </w:rPr>
        <w:t xml:space="preserve">at </w:t>
      </w:r>
      <w:r w:rsidR="00180DFE" w:rsidRPr="00180DFE">
        <w:rPr>
          <w:rFonts w:asciiTheme="majorHAnsi" w:eastAsiaTheme="minorEastAsia" w:hAnsiTheme="majorHAnsi" w:cs="Arial"/>
          <w:sz w:val="20"/>
          <w:szCs w:val="20"/>
          <w:lang w:val="en-GB"/>
        </w:rPr>
        <w:t xml:space="preserve">short notice, and for them to be able to work in a shared real or </w:t>
      </w:r>
      <w:r>
        <w:rPr>
          <w:rFonts w:asciiTheme="majorHAnsi" w:eastAsiaTheme="minorEastAsia" w:hAnsiTheme="majorHAnsi" w:cs="Arial"/>
          <w:sz w:val="20"/>
          <w:szCs w:val="20"/>
          <w:lang w:val="en-GB"/>
        </w:rPr>
        <w:t>V</w:t>
      </w:r>
      <w:r w:rsidR="00180DFE" w:rsidRPr="00180DFE">
        <w:rPr>
          <w:rFonts w:asciiTheme="majorHAnsi" w:eastAsiaTheme="minorEastAsia" w:hAnsiTheme="majorHAnsi" w:cs="Arial"/>
          <w:sz w:val="20"/>
          <w:szCs w:val="20"/>
          <w:lang w:val="en-GB"/>
        </w:rPr>
        <w:t xml:space="preserve">irtual </w:t>
      </w:r>
      <w:r>
        <w:rPr>
          <w:rFonts w:asciiTheme="majorHAnsi" w:eastAsiaTheme="minorEastAsia" w:hAnsiTheme="majorHAnsi" w:cs="Arial"/>
          <w:sz w:val="20"/>
          <w:szCs w:val="20"/>
          <w:lang w:val="en-GB"/>
        </w:rPr>
        <w:t>Research E</w:t>
      </w:r>
      <w:r w:rsidR="00180DFE" w:rsidRPr="00180DFE">
        <w:rPr>
          <w:rFonts w:asciiTheme="majorHAnsi" w:eastAsiaTheme="minorEastAsia" w:hAnsiTheme="majorHAnsi" w:cs="Arial"/>
          <w:sz w:val="20"/>
          <w:szCs w:val="20"/>
          <w:lang w:val="en-GB"/>
        </w:rPr>
        <w:t>nvironment</w:t>
      </w:r>
      <w:r w:rsidR="004C61F3">
        <w:rPr>
          <w:rFonts w:asciiTheme="majorHAnsi" w:eastAsiaTheme="minorEastAsia" w:hAnsiTheme="majorHAnsi" w:cs="Arial"/>
          <w:sz w:val="20"/>
          <w:szCs w:val="20"/>
          <w:lang w:val="en-GB"/>
        </w:rPr>
        <w:t xml:space="preserve"> (VRE)</w:t>
      </w:r>
      <w:r w:rsidR="00180DFE" w:rsidRPr="00180DFE">
        <w:rPr>
          <w:rFonts w:asciiTheme="majorHAnsi" w:eastAsiaTheme="minorEastAsia" w:hAnsiTheme="majorHAnsi" w:cs="Arial"/>
          <w:sz w:val="20"/>
          <w:szCs w:val="20"/>
          <w:lang w:val="en-GB"/>
        </w:rPr>
        <w:t xml:space="preserve"> </w:t>
      </w:r>
      <w:r w:rsidR="003916F0">
        <w:rPr>
          <w:rFonts w:asciiTheme="majorHAnsi" w:eastAsiaTheme="minorEastAsia" w:hAnsiTheme="majorHAnsi" w:cs="Arial"/>
          <w:sz w:val="20"/>
          <w:szCs w:val="20"/>
          <w:lang w:val="en-GB"/>
        </w:rPr>
        <w:fldChar w:fldCharType="begin"/>
      </w:r>
      <w:r w:rsidR="00DC3C07">
        <w:rPr>
          <w:rFonts w:asciiTheme="majorHAnsi" w:eastAsiaTheme="minorEastAsia" w:hAnsiTheme="majorHAnsi" w:cs="Arial"/>
          <w:sz w:val="20"/>
          <w:szCs w:val="20"/>
          <w:lang w:val="en-GB"/>
        </w:rPr>
        <w:instrText xml:space="preserve"> ADDIN REFMGR.CITE &lt;Refman&gt;&lt;Cite&gt;&lt;Author&gt;Wills&lt;/Author&gt;&lt;Year&gt;2010&lt;/Year&gt;&lt;RecNum&gt;30&lt;/RecNum&gt;&lt;IDText&gt;Virtual Research Integration and Collaboration (VRIC)&lt;/IDText&gt;&lt;MDL Ref_Type="Electronic Citation"&gt;&lt;Ref_Type&gt;Electronic Citation&lt;/Ref_Type&gt;&lt;Ref_ID&gt;30&lt;/Ref_ID&gt;&lt;Title_Primary&gt;&lt;f name="Calibri"&gt;Virtual Research Integration and Collaboration (VRIC)&lt;/f&gt;&lt;/Title_Primary&gt;&lt;Authors_Primary&gt;Wills,GB&lt;/Authors_Primary&gt;&lt;Authors_Primary&gt;Grange S&lt;/Authors_Primary&gt;&lt;Date_Primary&gt;2010&lt;/Date_Primary&gt;&lt;Reprint&gt;Not in File&lt;/Reprint&gt;&lt;Periodical&gt;ECS&lt;/Periodical&gt;&lt;Publisher&gt;University fo Southampton&lt;/Publisher&gt;&lt;Web_URL&gt;&lt;u&gt;www.voeu.ecs.soton.ac.uk&lt;/u&gt;&lt;/Web_URL&gt;&lt;ZZ_JournalFull&gt;&lt;f name="System"&gt;ECS&lt;/f&gt;&lt;/ZZ_JournalFull&gt;&lt;ZZ_WorkformID&gt;34&lt;/ZZ_WorkformID&gt;&lt;/MDL&gt;&lt;/Cite&gt;&lt;/Refman&gt;</w:instrText>
      </w:r>
      <w:r w:rsidR="003916F0">
        <w:rPr>
          <w:rFonts w:asciiTheme="majorHAnsi" w:eastAsiaTheme="minorEastAsia" w:hAnsiTheme="majorHAnsi" w:cs="Arial"/>
          <w:sz w:val="20"/>
          <w:szCs w:val="20"/>
          <w:lang w:val="en-GB"/>
        </w:rPr>
        <w:fldChar w:fldCharType="separate"/>
      </w:r>
      <w:r w:rsidR="00DC3C07">
        <w:rPr>
          <w:rFonts w:asciiTheme="majorHAnsi" w:eastAsiaTheme="minorEastAsia" w:hAnsiTheme="majorHAnsi" w:cs="Arial"/>
          <w:noProof/>
          <w:sz w:val="20"/>
          <w:szCs w:val="20"/>
          <w:lang w:val="en-GB"/>
        </w:rPr>
        <w:t>(2)</w:t>
      </w:r>
      <w:r w:rsidR="003916F0">
        <w:rPr>
          <w:rFonts w:asciiTheme="majorHAnsi" w:eastAsiaTheme="minorEastAsia" w:hAnsiTheme="majorHAnsi" w:cs="Arial"/>
          <w:sz w:val="20"/>
          <w:szCs w:val="20"/>
          <w:lang w:val="en-GB"/>
        </w:rPr>
        <w:fldChar w:fldCharType="end"/>
      </w:r>
      <w:r w:rsidR="00180DFE" w:rsidRPr="00180DFE">
        <w:rPr>
          <w:rFonts w:asciiTheme="majorHAnsi" w:eastAsiaTheme="minorEastAsia" w:hAnsiTheme="majorHAnsi" w:cs="Arial"/>
          <w:sz w:val="20"/>
          <w:szCs w:val="20"/>
          <w:lang w:val="en-GB"/>
        </w:rPr>
        <w:t xml:space="preserve">(see </w:t>
      </w:r>
      <w:r w:rsidR="00180DFE" w:rsidRPr="008033BE">
        <w:rPr>
          <w:rFonts w:asciiTheme="majorHAnsi" w:eastAsiaTheme="minorEastAsia" w:hAnsiTheme="majorHAnsi" w:cs="Arial"/>
          <w:i/>
          <w:sz w:val="20"/>
          <w:szCs w:val="20"/>
          <w:lang w:val="en-GB"/>
        </w:rPr>
        <w:t xml:space="preserve">figure </w:t>
      </w:r>
      <w:r>
        <w:rPr>
          <w:rFonts w:asciiTheme="majorHAnsi" w:eastAsiaTheme="minorEastAsia" w:hAnsiTheme="majorHAnsi" w:cs="Arial"/>
          <w:i/>
          <w:sz w:val="20"/>
          <w:szCs w:val="20"/>
          <w:lang w:val="en-GB"/>
        </w:rPr>
        <w:t>2</w:t>
      </w:r>
      <w:r w:rsidR="008033BE">
        <w:rPr>
          <w:rFonts w:asciiTheme="majorHAnsi" w:eastAsiaTheme="minorEastAsia" w:hAnsiTheme="majorHAnsi" w:cs="Arial"/>
          <w:i/>
          <w:sz w:val="20"/>
          <w:szCs w:val="20"/>
          <w:lang w:val="en-GB"/>
        </w:rPr>
        <w:t xml:space="preserve"> </w:t>
      </w:r>
      <w:r w:rsidR="008033BE" w:rsidRPr="008033BE">
        <w:rPr>
          <w:rFonts w:asciiTheme="majorHAnsi" w:eastAsiaTheme="minorEastAsia" w:hAnsiTheme="majorHAnsi" w:cs="Arial"/>
          <w:sz w:val="20"/>
          <w:szCs w:val="20"/>
          <w:lang w:val="en-GB"/>
        </w:rPr>
        <w:t>below</w:t>
      </w:r>
      <w:r w:rsidR="00180DFE" w:rsidRPr="00180DFE">
        <w:rPr>
          <w:rFonts w:asciiTheme="majorHAnsi" w:eastAsiaTheme="minorEastAsia" w:hAnsiTheme="majorHAnsi" w:cs="Arial"/>
          <w:sz w:val="20"/>
          <w:szCs w:val="20"/>
          <w:lang w:val="en-GB"/>
        </w:rPr>
        <w:t>), which will ultimately give</w:t>
      </w:r>
      <w:r w:rsidR="002E732B">
        <w:rPr>
          <w:rFonts w:asciiTheme="majorHAnsi" w:eastAsiaTheme="minorEastAsia" w:hAnsiTheme="majorHAnsi" w:cs="Arial"/>
          <w:sz w:val="20"/>
          <w:szCs w:val="20"/>
          <w:lang w:val="en-GB"/>
        </w:rPr>
        <w:t>s</w:t>
      </w:r>
      <w:r w:rsidR="00180DFE" w:rsidRPr="00180DFE">
        <w:rPr>
          <w:rFonts w:asciiTheme="majorHAnsi" w:eastAsiaTheme="minorEastAsia" w:hAnsiTheme="majorHAnsi" w:cs="Arial"/>
          <w:sz w:val="20"/>
          <w:szCs w:val="20"/>
          <w:lang w:val="en-GB"/>
        </w:rPr>
        <w:t xml:space="preserve"> them the competitive edge. </w:t>
      </w:r>
    </w:p>
    <w:p w:rsidR="0078668E" w:rsidRPr="00180DFE" w:rsidRDefault="0078668E" w:rsidP="00ED3C60">
      <w:pPr>
        <w:ind w:firstLine="397"/>
        <w:jc w:val="both"/>
        <w:rPr>
          <w:rFonts w:asciiTheme="majorHAnsi" w:eastAsiaTheme="minorEastAsia" w:hAnsiTheme="majorHAnsi" w:cs="Arial"/>
          <w:sz w:val="20"/>
          <w:szCs w:val="20"/>
          <w:lang w:val="en-GB"/>
        </w:rPr>
      </w:pPr>
    </w:p>
    <w:p w:rsidR="00180DFE" w:rsidRDefault="0078668E" w:rsidP="00ED3C60">
      <w:pPr>
        <w:rPr>
          <w:rFonts w:asciiTheme="majorHAnsi" w:eastAsiaTheme="minorEastAsia" w:hAnsiTheme="majorHAnsi" w:cs="Arial"/>
          <w:sz w:val="20"/>
          <w:szCs w:val="20"/>
          <w:lang w:val="en-GB"/>
        </w:rPr>
      </w:pPr>
      <w:r w:rsidRPr="0078668E">
        <w:rPr>
          <w:rFonts w:asciiTheme="majorHAnsi" w:eastAsiaTheme="minorEastAsia" w:hAnsiTheme="majorHAnsi" w:cs="Arial"/>
          <w:noProof/>
          <w:sz w:val="20"/>
          <w:szCs w:val="20"/>
          <w:lang w:val="en-GB" w:eastAsia="en-GB"/>
        </w:rPr>
        <w:drawing>
          <wp:inline distT="0" distB="0" distL="0" distR="0">
            <wp:extent cx="2971800" cy="1096551"/>
            <wp:effectExtent l="19050" t="0" r="0" b="0"/>
            <wp:docPr id="2" name="Picture 0" descr="VRICuserInterface201102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RICuserInterface20110202.png"/>
                    <pic:cNvPicPr/>
                  </pic:nvPicPr>
                  <pic:blipFill>
                    <a:blip r:embed="rId11" cstate="print"/>
                    <a:stretch>
                      <a:fillRect/>
                    </a:stretch>
                  </pic:blipFill>
                  <pic:spPr>
                    <a:xfrm>
                      <a:off x="0" y="0"/>
                      <a:ext cx="2971800" cy="1096551"/>
                    </a:xfrm>
                    <a:prstGeom prst="rect">
                      <a:avLst/>
                    </a:prstGeom>
                  </pic:spPr>
                </pic:pic>
              </a:graphicData>
            </a:graphic>
          </wp:inline>
        </w:drawing>
      </w:r>
    </w:p>
    <w:p w:rsidR="0078668E" w:rsidRPr="00D32B60" w:rsidRDefault="00DA7F69" w:rsidP="00ED3C60">
      <w:pPr>
        <w:ind w:firstLine="397"/>
        <w:jc w:val="center"/>
        <w:rPr>
          <w:rFonts w:asciiTheme="majorHAnsi" w:eastAsiaTheme="minorEastAsia" w:hAnsiTheme="majorHAnsi" w:cs="Arial"/>
          <w:sz w:val="20"/>
          <w:szCs w:val="20"/>
          <w:lang w:val="en-GB"/>
        </w:rPr>
      </w:pPr>
      <w:r w:rsidRPr="00D32B60">
        <w:rPr>
          <w:rFonts w:asciiTheme="majorHAnsi" w:eastAsiaTheme="minorEastAsia" w:hAnsiTheme="majorHAnsi" w:cs="Arial"/>
          <w:b/>
          <w:sz w:val="20"/>
          <w:szCs w:val="20"/>
          <w:lang w:val="en-GB"/>
        </w:rPr>
        <w:t xml:space="preserve">Figure </w:t>
      </w:r>
      <w:r w:rsidR="00B37A21" w:rsidRPr="00D32B60">
        <w:rPr>
          <w:rFonts w:asciiTheme="majorHAnsi" w:eastAsiaTheme="minorEastAsia" w:hAnsiTheme="majorHAnsi" w:cs="Arial"/>
          <w:b/>
          <w:sz w:val="20"/>
          <w:szCs w:val="20"/>
          <w:lang w:val="en-GB"/>
        </w:rPr>
        <w:t>2</w:t>
      </w:r>
      <w:r w:rsidRPr="00D32B60">
        <w:rPr>
          <w:rFonts w:asciiTheme="majorHAnsi" w:eastAsiaTheme="minorEastAsia" w:hAnsiTheme="majorHAnsi" w:cs="Arial"/>
          <w:sz w:val="20"/>
          <w:szCs w:val="20"/>
          <w:lang w:val="en-GB"/>
        </w:rPr>
        <w:t xml:space="preserve"> V</w:t>
      </w:r>
      <w:r w:rsidR="008033BE" w:rsidRPr="00D32B60">
        <w:rPr>
          <w:rFonts w:asciiTheme="majorHAnsi" w:eastAsiaTheme="minorEastAsia" w:hAnsiTheme="majorHAnsi" w:cs="Arial"/>
          <w:sz w:val="20"/>
          <w:szCs w:val="20"/>
          <w:lang w:val="en-GB"/>
        </w:rPr>
        <w:t xml:space="preserve">irtual </w:t>
      </w:r>
      <w:r w:rsidR="00E40F9E" w:rsidRPr="00D32B60">
        <w:rPr>
          <w:rFonts w:asciiTheme="majorHAnsi" w:eastAsiaTheme="minorEastAsia" w:hAnsiTheme="majorHAnsi" w:cs="Arial"/>
          <w:sz w:val="20"/>
          <w:szCs w:val="20"/>
          <w:lang w:val="en-GB"/>
        </w:rPr>
        <w:t xml:space="preserve">research integration and </w:t>
      </w:r>
      <w:r w:rsidRPr="00D32B60">
        <w:rPr>
          <w:rFonts w:asciiTheme="majorHAnsi" w:eastAsiaTheme="minorEastAsia" w:hAnsiTheme="majorHAnsi" w:cs="Arial"/>
          <w:sz w:val="20"/>
          <w:szCs w:val="20"/>
          <w:lang w:val="en-GB"/>
        </w:rPr>
        <w:t>collaboration environment</w:t>
      </w:r>
    </w:p>
    <w:p w:rsidR="00972D81" w:rsidRPr="008033BE" w:rsidRDefault="00972D81" w:rsidP="00ED3C60">
      <w:pPr>
        <w:ind w:firstLine="397"/>
        <w:jc w:val="center"/>
        <w:rPr>
          <w:rFonts w:asciiTheme="majorHAnsi" w:eastAsiaTheme="minorEastAsia" w:hAnsiTheme="majorHAnsi" w:cs="Arial"/>
          <w:b/>
          <w:i/>
          <w:sz w:val="20"/>
          <w:szCs w:val="20"/>
          <w:lang w:val="en-GB"/>
        </w:rPr>
      </w:pPr>
    </w:p>
    <w:p w:rsidR="00B37A21" w:rsidRDefault="00B37A21" w:rsidP="00ED3C60">
      <w:pPr>
        <w:ind w:firstLine="397"/>
        <w:jc w:val="both"/>
        <w:rPr>
          <w:rFonts w:asciiTheme="majorHAnsi" w:eastAsiaTheme="minorEastAsia" w:hAnsiTheme="majorHAnsi" w:cs="Arial"/>
          <w:sz w:val="20"/>
          <w:szCs w:val="20"/>
          <w:lang w:val="en-GB"/>
        </w:rPr>
      </w:pPr>
    </w:p>
    <w:p w:rsidR="00B37A21" w:rsidRDefault="00B37A21" w:rsidP="00ED3C60">
      <w:pPr>
        <w:ind w:firstLine="397"/>
        <w:jc w:val="both"/>
        <w:rPr>
          <w:rFonts w:asciiTheme="majorHAnsi" w:eastAsiaTheme="minorEastAsia" w:hAnsiTheme="majorHAnsi" w:cs="Arial"/>
          <w:sz w:val="20"/>
          <w:szCs w:val="20"/>
          <w:lang w:val="en-GB"/>
        </w:rPr>
      </w:pPr>
      <w:r w:rsidRPr="00180DFE">
        <w:rPr>
          <w:rFonts w:asciiTheme="majorHAnsi" w:eastAsiaTheme="minorEastAsia" w:hAnsiTheme="majorHAnsi" w:cs="Arial"/>
          <w:sz w:val="20"/>
          <w:szCs w:val="20"/>
          <w:lang w:val="en-GB"/>
        </w:rPr>
        <w:t xml:space="preserve">This represents a degree of optimisation of the </w:t>
      </w:r>
      <w:r>
        <w:rPr>
          <w:rFonts w:asciiTheme="majorHAnsi" w:eastAsiaTheme="minorEastAsia" w:hAnsiTheme="majorHAnsi" w:cs="Arial"/>
          <w:sz w:val="20"/>
          <w:szCs w:val="20"/>
          <w:lang w:val="en-GB"/>
        </w:rPr>
        <w:t>‘</w:t>
      </w:r>
      <w:r w:rsidRPr="00180DFE">
        <w:rPr>
          <w:rFonts w:asciiTheme="majorHAnsi" w:eastAsiaTheme="minorEastAsia" w:hAnsiTheme="majorHAnsi" w:cs="Arial"/>
          <w:sz w:val="20"/>
          <w:szCs w:val="20"/>
          <w:lang w:val="en-GB"/>
        </w:rPr>
        <w:t>system</w:t>
      </w:r>
      <w:r>
        <w:rPr>
          <w:rFonts w:asciiTheme="majorHAnsi" w:eastAsiaTheme="minorEastAsia" w:hAnsiTheme="majorHAnsi" w:cs="Arial"/>
          <w:sz w:val="20"/>
          <w:szCs w:val="20"/>
          <w:lang w:val="en-GB"/>
        </w:rPr>
        <w:t>s’</w:t>
      </w:r>
      <w:r w:rsidRPr="00180DFE">
        <w:rPr>
          <w:rFonts w:asciiTheme="majorHAnsi" w:eastAsiaTheme="minorEastAsia" w:hAnsiTheme="majorHAnsi" w:cs="Arial"/>
          <w:sz w:val="20"/>
          <w:szCs w:val="20"/>
          <w:lang w:val="en-GB"/>
        </w:rPr>
        <w:t xml:space="preserve"> approach</w:t>
      </w:r>
      <w:r w:rsidR="002210AE">
        <w:rPr>
          <w:rFonts w:asciiTheme="majorHAnsi" w:eastAsiaTheme="minorEastAsia" w:hAnsiTheme="majorHAnsi" w:cs="Arial"/>
          <w:sz w:val="20"/>
          <w:szCs w:val="20"/>
          <w:lang w:val="en-GB"/>
        </w:rPr>
        <w:t>,</w:t>
      </w:r>
      <w:r w:rsidRPr="00180DFE">
        <w:rPr>
          <w:rFonts w:asciiTheme="majorHAnsi" w:eastAsiaTheme="minorEastAsia" w:hAnsiTheme="majorHAnsi" w:cs="Arial"/>
          <w:sz w:val="20"/>
          <w:szCs w:val="20"/>
          <w:lang w:val="en-GB"/>
        </w:rPr>
        <w:t xml:space="preserve"> </w:t>
      </w:r>
      <w:r w:rsidR="002E732B">
        <w:rPr>
          <w:rFonts w:asciiTheme="majorHAnsi" w:eastAsiaTheme="minorEastAsia" w:hAnsiTheme="majorHAnsi" w:cs="Arial"/>
          <w:sz w:val="20"/>
          <w:szCs w:val="20"/>
          <w:lang w:val="en-GB"/>
        </w:rPr>
        <w:t>with</w:t>
      </w:r>
      <w:r w:rsidRPr="00180DFE">
        <w:rPr>
          <w:rFonts w:asciiTheme="majorHAnsi" w:eastAsiaTheme="minorEastAsia" w:hAnsiTheme="majorHAnsi" w:cs="Arial"/>
          <w:sz w:val="20"/>
          <w:szCs w:val="20"/>
          <w:lang w:val="en-GB"/>
        </w:rPr>
        <w:t xml:space="preserve"> gating </w:t>
      </w:r>
      <w:r>
        <w:rPr>
          <w:rFonts w:asciiTheme="majorHAnsi" w:eastAsiaTheme="minorEastAsia" w:hAnsiTheme="majorHAnsi" w:cs="Arial"/>
          <w:sz w:val="20"/>
          <w:szCs w:val="20"/>
          <w:lang w:val="en-GB"/>
        </w:rPr>
        <w:t xml:space="preserve">procedures </w:t>
      </w:r>
      <w:r w:rsidRPr="00180DFE">
        <w:rPr>
          <w:rFonts w:asciiTheme="majorHAnsi" w:eastAsiaTheme="minorEastAsia" w:hAnsiTheme="majorHAnsi" w:cs="Arial"/>
          <w:sz w:val="20"/>
          <w:szCs w:val="20"/>
          <w:lang w:val="en-GB"/>
        </w:rPr>
        <w:t xml:space="preserve">to ensure appropriate regulation for the protection of subjects (such as </w:t>
      </w:r>
      <w:r>
        <w:rPr>
          <w:rFonts w:asciiTheme="majorHAnsi" w:eastAsiaTheme="minorEastAsia" w:hAnsiTheme="majorHAnsi" w:cs="Arial"/>
          <w:sz w:val="20"/>
          <w:szCs w:val="20"/>
          <w:lang w:val="en-GB"/>
        </w:rPr>
        <w:t xml:space="preserve">the necessary </w:t>
      </w:r>
      <w:r w:rsidRPr="002210AE">
        <w:rPr>
          <w:rFonts w:asciiTheme="majorHAnsi" w:eastAsiaTheme="minorEastAsia" w:hAnsiTheme="majorHAnsi" w:cs="Arial"/>
          <w:i/>
          <w:sz w:val="20"/>
          <w:szCs w:val="20"/>
          <w:lang w:val="en-GB"/>
        </w:rPr>
        <w:t xml:space="preserve">institutional review board </w:t>
      </w:r>
      <w:r w:rsidR="002E732B">
        <w:rPr>
          <w:rFonts w:asciiTheme="majorHAnsi" w:eastAsiaTheme="minorEastAsia" w:hAnsiTheme="majorHAnsi" w:cs="Arial"/>
          <w:sz w:val="20"/>
          <w:szCs w:val="20"/>
          <w:lang w:val="en-GB"/>
        </w:rPr>
        <w:t xml:space="preserve">– IRB </w:t>
      </w:r>
      <w:r>
        <w:rPr>
          <w:rFonts w:asciiTheme="majorHAnsi" w:eastAsiaTheme="minorEastAsia" w:hAnsiTheme="majorHAnsi" w:cs="Arial"/>
          <w:sz w:val="20"/>
          <w:szCs w:val="20"/>
          <w:lang w:val="en-GB"/>
        </w:rPr>
        <w:t>reviews) and also to ensure that pre-</w:t>
      </w:r>
      <w:r w:rsidRPr="00180DFE">
        <w:rPr>
          <w:rFonts w:asciiTheme="majorHAnsi" w:eastAsiaTheme="minorEastAsia" w:hAnsiTheme="majorHAnsi" w:cs="Arial"/>
          <w:sz w:val="20"/>
          <w:szCs w:val="20"/>
          <w:lang w:val="en-GB"/>
        </w:rPr>
        <w:t>productised devices are ready for progressing to their next stage of development.</w:t>
      </w:r>
      <w:r>
        <w:rPr>
          <w:rFonts w:asciiTheme="majorHAnsi" w:eastAsiaTheme="minorEastAsia" w:hAnsiTheme="majorHAnsi" w:cs="Arial"/>
          <w:sz w:val="20"/>
          <w:szCs w:val="20"/>
          <w:lang w:val="en-GB"/>
        </w:rPr>
        <w:t xml:space="preserve"> </w:t>
      </w:r>
    </w:p>
    <w:p w:rsidR="00180DFE" w:rsidRPr="00180DFE" w:rsidRDefault="00180DFE" w:rsidP="00ED3C60">
      <w:pPr>
        <w:ind w:firstLine="397"/>
        <w:jc w:val="both"/>
        <w:rPr>
          <w:rFonts w:asciiTheme="majorHAnsi" w:eastAsiaTheme="minorEastAsia" w:hAnsiTheme="majorHAnsi" w:cs="Arial"/>
          <w:sz w:val="20"/>
          <w:szCs w:val="20"/>
          <w:lang w:val="en-GB"/>
        </w:rPr>
      </w:pPr>
      <w:r w:rsidRPr="00180DFE">
        <w:rPr>
          <w:rFonts w:asciiTheme="majorHAnsi" w:eastAsiaTheme="minorEastAsia" w:hAnsiTheme="majorHAnsi" w:cs="Arial"/>
          <w:sz w:val="20"/>
          <w:szCs w:val="20"/>
          <w:lang w:val="en-GB"/>
        </w:rPr>
        <w:t>Ultimately the value to institutions is the ability to discre</w:t>
      </w:r>
      <w:r w:rsidR="008033BE">
        <w:rPr>
          <w:rFonts w:asciiTheme="majorHAnsi" w:eastAsiaTheme="minorEastAsia" w:hAnsiTheme="majorHAnsi" w:cs="Arial"/>
          <w:sz w:val="20"/>
          <w:szCs w:val="20"/>
          <w:lang w:val="en-GB"/>
        </w:rPr>
        <w:t>t</w:t>
      </w:r>
      <w:r w:rsidRPr="00180DFE">
        <w:rPr>
          <w:rFonts w:asciiTheme="majorHAnsi" w:eastAsiaTheme="minorEastAsia" w:hAnsiTheme="majorHAnsi" w:cs="Arial"/>
          <w:sz w:val="20"/>
          <w:szCs w:val="20"/>
          <w:lang w:val="en-GB"/>
        </w:rPr>
        <w:t xml:space="preserve">ely categorise stages of progress to either offer support </w:t>
      </w:r>
      <w:r w:rsidR="008033BE">
        <w:rPr>
          <w:rFonts w:asciiTheme="majorHAnsi" w:eastAsiaTheme="minorEastAsia" w:hAnsiTheme="majorHAnsi" w:cs="Arial"/>
          <w:sz w:val="20"/>
          <w:szCs w:val="20"/>
          <w:lang w:val="en-GB"/>
        </w:rPr>
        <w:t>or</w:t>
      </w:r>
      <w:r w:rsidRPr="00180DFE">
        <w:rPr>
          <w:rFonts w:asciiTheme="majorHAnsi" w:eastAsiaTheme="minorEastAsia" w:hAnsiTheme="majorHAnsi" w:cs="Arial"/>
          <w:sz w:val="20"/>
          <w:szCs w:val="20"/>
          <w:lang w:val="en-GB"/>
        </w:rPr>
        <w:t xml:space="preserve"> to </w:t>
      </w:r>
      <w:r w:rsidR="002210AE">
        <w:rPr>
          <w:rFonts w:asciiTheme="majorHAnsi" w:eastAsiaTheme="minorEastAsia" w:hAnsiTheme="majorHAnsi" w:cs="Arial"/>
          <w:sz w:val="20"/>
          <w:szCs w:val="20"/>
          <w:lang w:val="en-GB"/>
        </w:rPr>
        <w:t>‘</w:t>
      </w:r>
      <w:r w:rsidRPr="00180DFE">
        <w:rPr>
          <w:rFonts w:asciiTheme="majorHAnsi" w:eastAsiaTheme="minorEastAsia" w:hAnsiTheme="majorHAnsi" w:cs="Arial"/>
          <w:sz w:val="20"/>
          <w:szCs w:val="20"/>
          <w:lang w:val="en-GB"/>
        </w:rPr>
        <w:t>cull</w:t>
      </w:r>
      <w:r w:rsidR="002210AE">
        <w:rPr>
          <w:rFonts w:asciiTheme="majorHAnsi" w:eastAsiaTheme="minorEastAsia" w:hAnsiTheme="majorHAnsi" w:cs="Arial"/>
          <w:sz w:val="20"/>
          <w:szCs w:val="20"/>
          <w:lang w:val="en-GB"/>
        </w:rPr>
        <w:t>’</w:t>
      </w:r>
      <w:r w:rsidRPr="00180DFE">
        <w:rPr>
          <w:rFonts w:asciiTheme="majorHAnsi" w:eastAsiaTheme="minorEastAsia" w:hAnsiTheme="majorHAnsi" w:cs="Arial"/>
          <w:sz w:val="20"/>
          <w:szCs w:val="20"/>
          <w:lang w:val="en-GB"/>
        </w:rPr>
        <w:t xml:space="preserve"> research and development </w:t>
      </w:r>
      <w:r w:rsidR="008033BE">
        <w:rPr>
          <w:rFonts w:asciiTheme="majorHAnsi" w:eastAsiaTheme="minorEastAsia" w:hAnsiTheme="majorHAnsi" w:cs="Arial"/>
          <w:sz w:val="20"/>
          <w:szCs w:val="20"/>
          <w:lang w:val="en-GB"/>
        </w:rPr>
        <w:t xml:space="preserve">efforts </w:t>
      </w:r>
      <w:r w:rsidRPr="00180DFE">
        <w:rPr>
          <w:rFonts w:asciiTheme="majorHAnsi" w:eastAsiaTheme="minorEastAsia" w:hAnsiTheme="majorHAnsi" w:cs="Arial"/>
          <w:sz w:val="20"/>
          <w:szCs w:val="20"/>
          <w:lang w:val="en-GB"/>
        </w:rPr>
        <w:t xml:space="preserve">that are clearly not going to be productive. </w:t>
      </w:r>
      <w:r w:rsidR="002E732B">
        <w:rPr>
          <w:rFonts w:asciiTheme="majorHAnsi" w:eastAsiaTheme="minorEastAsia" w:hAnsiTheme="majorHAnsi" w:cs="Arial"/>
          <w:sz w:val="20"/>
          <w:szCs w:val="20"/>
          <w:lang w:val="en-GB"/>
        </w:rPr>
        <w:t>P</w:t>
      </w:r>
      <w:r w:rsidRPr="00180DFE">
        <w:rPr>
          <w:rFonts w:asciiTheme="majorHAnsi" w:eastAsiaTheme="minorEastAsia" w:hAnsiTheme="majorHAnsi" w:cs="Arial"/>
          <w:sz w:val="20"/>
          <w:szCs w:val="20"/>
          <w:lang w:val="en-GB"/>
        </w:rPr>
        <w:t>recaution</w:t>
      </w:r>
      <w:r w:rsidR="002E732B">
        <w:rPr>
          <w:rFonts w:asciiTheme="majorHAnsi" w:eastAsiaTheme="minorEastAsia" w:hAnsiTheme="majorHAnsi" w:cs="Arial"/>
          <w:sz w:val="20"/>
          <w:szCs w:val="20"/>
          <w:lang w:val="en-GB"/>
        </w:rPr>
        <w:t>s</w:t>
      </w:r>
      <w:r w:rsidRPr="00180DFE">
        <w:rPr>
          <w:rFonts w:asciiTheme="majorHAnsi" w:eastAsiaTheme="minorEastAsia" w:hAnsiTheme="majorHAnsi" w:cs="Arial"/>
          <w:sz w:val="20"/>
          <w:szCs w:val="20"/>
          <w:lang w:val="en-GB"/>
        </w:rPr>
        <w:t xml:space="preserve"> should be taken to avoid </w:t>
      </w:r>
      <w:r w:rsidR="002210AE">
        <w:rPr>
          <w:rFonts w:asciiTheme="majorHAnsi" w:eastAsiaTheme="minorEastAsia" w:hAnsiTheme="majorHAnsi" w:cs="Arial"/>
          <w:sz w:val="20"/>
          <w:szCs w:val="20"/>
          <w:lang w:val="en-GB"/>
        </w:rPr>
        <w:t xml:space="preserve">the </w:t>
      </w:r>
      <w:r w:rsidR="002E732B">
        <w:rPr>
          <w:rFonts w:asciiTheme="majorHAnsi" w:eastAsiaTheme="minorEastAsia" w:hAnsiTheme="majorHAnsi" w:cs="Arial"/>
          <w:sz w:val="20"/>
          <w:szCs w:val="20"/>
          <w:lang w:val="en-GB"/>
        </w:rPr>
        <w:t>‘culling’</w:t>
      </w:r>
      <w:r w:rsidRPr="00180DFE">
        <w:rPr>
          <w:rFonts w:asciiTheme="majorHAnsi" w:eastAsiaTheme="minorEastAsia" w:hAnsiTheme="majorHAnsi" w:cs="Arial"/>
          <w:sz w:val="20"/>
          <w:szCs w:val="20"/>
          <w:lang w:val="en-GB"/>
        </w:rPr>
        <w:t xml:space="preserve"> </w:t>
      </w:r>
      <w:r w:rsidR="002210AE">
        <w:rPr>
          <w:rFonts w:asciiTheme="majorHAnsi" w:eastAsiaTheme="minorEastAsia" w:hAnsiTheme="majorHAnsi" w:cs="Arial"/>
          <w:sz w:val="20"/>
          <w:szCs w:val="20"/>
          <w:lang w:val="en-GB"/>
        </w:rPr>
        <w:t xml:space="preserve">process </w:t>
      </w:r>
      <w:r w:rsidRPr="00180DFE">
        <w:rPr>
          <w:rFonts w:asciiTheme="majorHAnsi" w:eastAsiaTheme="minorEastAsia" w:hAnsiTheme="majorHAnsi" w:cs="Arial"/>
          <w:sz w:val="20"/>
          <w:szCs w:val="20"/>
          <w:lang w:val="en-GB"/>
        </w:rPr>
        <w:t>t</w:t>
      </w:r>
      <w:r w:rsidR="008033BE">
        <w:rPr>
          <w:rFonts w:asciiTheme="majorHAnsi" w:eastAsiaTheme="minorEastAsia" w:hAnsiTheme="majorHAnsi" w:cs="Arial"/>
          <w:sz w:val="20"/>
          <w:szCs w:val="20"/>
          <w:lang w:val="en-GB"/>
        </w:rPr>
        <w:t>o</w:t>
      </w:r>
      <w:r w:rsidRPr="00180DFE">
        <w:rPr>
          <w:rFonts w:asciiTheme="majorHAnsi" w:eastAsiaTheme="minorEastAsia" w:hAnsiTheme="majorHAnsi" w:cs="Arial"/>
          <w:sz w:val="20"/>
          <w:szCs w:val="20"/>
          <w:lang w:val="en-GB"/>
        </w:rPr>
        <w:t xml:space="preserve">o early, since history clearly demonstrates that the ultimate </w:t>
      </w:r>
      <w:r w:rsidR="008033BE">
        <w:rPr>
          <w:rFonts w:asciiTheme="majorHAnsi" w:eastAsiaTheme="minorEastAsia" w:hAnsiTheme="majorHAnsi" w:cs="Arial"/>
          <w:sz w:val="20"/>
          <w:szCs w:val="20"/>
          <w:lang w:val="en-GB"/>
        </w:rPr>
        <w:t>tr</w:t>
      </w:r>
      <w:r w:rsidRPr="00180DFE">
        <w:rPr>
          <w:rFonts w:asciiTheme="majorHAnsi" w:eastAsiaTheme="minorEastAsia" w:hAnsiTheme="majorHAnsi" w:cs="Arial"/>
          <w:sz w:val="20"/>
          <w:szCs w:val="20"/>
          <w:lang w:val="en-GB"/>
        </w:rPr>
        <w:t>u</w:t>
      </w:r>
      <w:r w:rsidR="008033BE">
        <w:rPr>
          <w:rFonts w:asciiTheme="majorHAnsi" w:eastAsiaTheme="minorEastAsia" w:hAnsiTheme="majorHAnsi" w:cs="Arial"/>
          <w:sz w:val="20"/>
          <w:szCs w:val="20"/>
          <w:lang w:val="en-GB"/>
        </w:rPr>
        <w:t>e</w:t>
      </w:r>
      <w:r w:rsidRPr="00180DFE">
        <w:rPr>
          <w:rFonts w:asciiTheme="majorHAnsi" w:eastAsiaTheme="minorEastAsia" w:hAnsiTheme="majorHAnsi" w:cs="Arial"/>
          <w:sz w:val="20"/>
          <w:szCs w:val="20"/>
          <w:lang w:val="en-GB"/>
        </w:rPr>
        <w:t xml:space="preserve"> value of potential new technologies </w:t>
      </w:r>
      <w:r w:rsidR="009F2447" w:rsidRPr="009F2447">
        <w:rPr>
          <w:rFonts w:asciiTheme="majorHAnsi" w:eastAsiaTheme="minorEastAsia" w:hAnsiTheme="majorHAnsi" w:cs="Arial"/>
          <w:i/>
          <w:sz w:val="20"/>
          <w:szCs w:val="20"/>
          <w:lang w:val="en-GB"/>
        </w:rPr>
        <w:t>e.g.</w:t>
      </w:r>
      <w:r w:rsidR="009F2447">
        <w:rPr>
          <w:rFonts w:asciiTheme="majorHAnsi" w:eastAsiaTheme="minorEastAsia" w:hAnsiTheme="majorHAnsi" w:cs="Arial"/>
          <w:sz w:val="20"/>
          <w:szCs w:val="20"/>
          <w:lang w:val="en-GB"/>
        </w:rPr>
        <w:t xml:space="preserve"> the laser, </w:t>
      </w:r>
      <w:r w:rsidRPr="00180DFE">
        <w:rPr>
          <w:rFonts w:asciiTheme="majorHAnsi" w:eastAsiaTheme="minorEastAsia" w:hAnsiTheme="majorHAnsi" w:cs="Arial"/>
          <w:sz w:val="20"/>
          <w:szCs w:val="20"/>
          <w:lang w:val="en-GB"/>
        </w:rPr>
        <w:t>may take at least two decades to be realised</w:t>
      </w:r>
      <w:r w:rsidR="002E732B">
        <w:rPr>
          <w:rFonts w:asciiTheme="majorHAnsi" w:eastAsiaTheme="minorEastAsia" w:hAnsiTheme="majorHAnsi" w:cs="Arial"/>
          <w:sz w:val="20"/>
          <w:szCs w:val="20"/>
          <w:lang w:val="en-GB"/>
        </w:rPr>
        <w:t>,</w:t>
      </w:r>
      <w:r w:rsidR="009F2447">
        <w:rPr>
          <w:rFonts w:asciiTheme="majorHAnsi" w:eastAsiaTheme="minorEastAsia" w:hAnsiTheme="majorHAnsi" w:cs="Arial"/>
          <w:sz w:val="20"/>
          <w:szCs w:val="20"/>
          <w:lang w:val="en-GB"/>
        </w:rPr>
        <w:t xml:space="preserve"> and often f</w:t>
      </w:r>
      <w:r w:rsidR="008033BE">
        <w:rPr>
          <w:rFonts w:asciiTheme="majorHAnsi" w:eastAsiaTheme="minorEastAsia" w:hAnsiTheme="majorHAnsi" w:cs="Arial"/>
          <w:sz w:val="20"/>
          <w:szCs w:val="20"/>
          <w:lang w:val="en-GB"/>
        </w:rPr>
        <w:t>o</w:t>
      </w:r>
      <w:r w:rsidR="009F2447">
        <w:rPr>
          <w:rFonts w:asciiTheme="majorHAnsi" w:eastAsiaTheme="minorEastAsia" w:hAnsiTheme="majorHAnsi" w:cs="Arial"/>
          <w:sz w:val="20"/>
          <w:szCs w:val="20"/>
          <w:lang w:val="en-GB"/>
        </w:rPr>
        <w:t>r</w:t>
      </w:r>
      <w:r w:rsidR="008033BE">
        <w:rPr>
          <w:rFonts w:asciiTheme="majorHAnsi" w:eastAsiaTheme="minorEastAsia" w:hAnsiTheme="majorHAnsi" w:cs="Arial"/>
          <w:sz w:val="20"/>
          <w:szCs w:val="20"/>
          <w:lang w:val="en-GB"/>
        </w:rPr>
        <w:t xml:space="preserve"> previously unanticipated applicat</w:t>
      </w:r>
      <w:r w:rsidR="00F177E4">
        <w:rPr>
          <w:rFonts w:asciiTheme="majorHAnsi" w:eastAsiaTheme="minorEastAsia" w:hAnsiTheme="majorHAnsi" w:cs="Arial"/>
          <w:sz w:val="20"/>
          <w:szCs w:val="20"/>
          <w:lang w:val="en-GB"/>
        </w:rPr>
        <w:t>ions</w:t>
      </w:r>
      <w:r w:rsidRPr="00180DFE">
        <w:rPr>
          <w:rFonts w:asciiTheme="majorHAnsi" w:eastAsiaTheme="minorEastAsia" w:hAnsiTheme="majorHAnsi" w:cs="Arial"/>
          <w:sz w:val="20"/>
          <w:szCs w:val="20"/>
          <w:lang w:val="en-GB"/>
        </w:rPr>
        <w:t>.</w:t>
      </w:r>
    </w:p>
    <w:p w:rsidR="00FB6AB4" w:rsidRDefault="00180DFE" w:rsidP="00FB6AB4">
      <w:pPr>
        <w:ind w:firstLine="397"/>
        <w:jc w:val="both"/>
        <w:rPr>
          <w:rFonts w:asciiTheme="majorHAnsi" w:eastAsiaTheme="minorEastAsia" w:hAnsiTheme="majorHAnsi" w:cs="Arial"/>
          <w:sz w:val="20"/>
          <w:szCs w:val="20"/>
          <w:lang w:val="en-GB"/>
        </w:rPr>
      </w:pPr>
      <w:r w:rsidRPr="00180DFE">
        <w:rPr>
          <w:rFonts w:asciiTheme="majorHAnsi" w:eastAsiaTheme="minorEastAsia" w:hAnsiTheme="majorHAnsi" w:cs="Arial"/>
          <w:sz w:val="20"/>
          <w:szCs w:val="20"/>
          <w:lang w:val="en-GB"/>
        </w:rPr>
        <w:t xml:space="preserve">This ensures that the groups and teams </w:t>
      </w:r>
      <w:r w:rsidR="009F2447">
        <w:rPr>
          <w:rFonts w:asciiTheme="majorHAnsi" w:eastAsiaTheme="minorEastAsia" w:hAnsiTheme="majorHAnsi" w:cs="Arial"/>
          <w:sz w:val="20"/>
          <w:szCs w:val="20"/>
          <w:lang w:val="en-GB"/>
        </w:rPr>
        <w:t>are</w:t>
      </w:r>
      <w:r w:rsidRPr="00180DFE">
        <w:rPr>
          <w:rFonts w:asciiTheme="majorHAnsi" w:eastAsiaTheme="minorEastAsia" w:hAnsiTheme="majorHAnsi" w:cs="Arial"/>
          <w:sz w:val="20"/>
          <w:szCs w:val="20"/>
          <w:lang w:val="en-GB"/>
        </w:rPr>
        <w:t xml:space="preserve"> assure</w:t>
      </w:r>
      <w:r w:rsidR="009F2447">
        <w:rPr>
          <w:rFonts w:asciiTheme="majorHAnsi" w:eastAsiaTheme="minorEastAsia" w:hAnsiTheme="majorHAnsi" w:cs="Arial"/>
          <w:sz w:val="20"/>
          <w:szCs w:val="20"/>
          <w:lang w:val="en-GB"/>
        </w:rPr>
        <w:t>d</w:t>
      </w:r>
      <w:r w:rsidRPr="00180DFE">
        <w:rPr>
          <w:rFonts w:asciiTheme="majorHAnsi" w:eastAsiaTheme="minorEastAsia" w:hAnsiTheme="majorHAnsi" w:cs="Arial"/>
          <w:sz w:val="20"/>
          <w:szCs w:val="20"/>
          <w:lang w:val="en-GB"/>
        </w:rPr>
        <w:t xml:space="preserve"> that their intellectual property is adequately protected</w:t>
      </w:r>
      <w:r w:rsidR="00F177E4">
        <w:rPr>
          <w:rFonts w:asciiTheme="majorHAnsi" w:eastAsiaTheme="minorEastAsia" w:hAnsiTheme="majorHAnsi" w:cs="Arial"/>
          <w:sz w:val="20"/>
          <w:szCs w:val="20"/>
          <w:lang w:val="en-GB"/>
        </w:rPr>
        <w:t>,</w:t>
      </w:r>
      <w:r w:rsidRPr="00180DFE">
        <w:rPr>
          <w:rFonts w:asciiTheme="majorHAnsi" w:eastAsiaTheme="minorEastAsia" w:hAnsiTheme="majorHAnsi" w:cs="Arial"/>
          <w:sz w:val="20"/>
          <w:szCs w:val="20"/>
          <w:lang w:val="en-GB"/>
        </w:rPr>
        <w:t xml:space="preserve"> sup</w:t>
      </w:r>
      <w:r w:rsidR="00F177E4">
        <w:rPr>
          <w:rFonts w:asciiTheme="majorHAnsi" w:eastAsiaTheme="minorEastAsia" w:hAnsiTheme="majorHAnsi" w:cs="Arial"/>
          <w:sz w:val="20"/>
          <w:szCs w:val="20"/>
          <w:lang w:val="en-GB"/>
        </w:rPr>
        <w:t>porting the</w:t>
      </w:r>
      <w:r w:rsidR="002E732B">
        <w:rPr>
          <w:rFonts w:asciiTheme="majorHAnsi" w:eastAsiaTheme="minorEastAsia" w:hAnsiTheme="majorHAnsi" w:cs="Arial"/>
          <w:sz w:val="20"/>
          <w:szCs w:val="20"/>
          <w:lang w:val="en-GB"/>
        </w:rPr>
        <w:t xml:space="preserve"> interests</w:t>
      </w:r>
      <w:r w:rsidR="00F177E4">
        <w:rPr>
          <w:rFonts w:asciiTheme="majorHAnsi" w:eastAsiaTheme="minorEastAsia" w:hAnsiTheme="majorHAnsi" w:cs="Arial"/>
          <w:sz w:val="20"/>
          <w:szCs w:val="20"/>
          <w:lang w:val="en-GB"/>
        </w:rPr>
        <w:t xml:space="preserve"> sponsors and</w:t>
      </w:r>
      <w:r w:rsidRPr="00180DFE">
        <w:rPr>
          <w:rFonts w:asciiTheme="majorHAnsi" w:eastAsiaTheme="minorEastAsia" w:hAnsiTheme="majorHAnsi" w:cs="Arial"/>
          <w:sz w:val="20"/>
          <w:szCs w:val="20"/>
          <w:lang w:val="en-GB"/>
        </w:rPr>
        <w:t xml:space="preserve"> institutions</w:t>
      </w:r>
      <w:r w:rsidR="00FB6AB4">
        <w:rPr>
          <w:rFonts w:asciiTheme="majorHAnsi" w:eastAsiaTheme="minorEastAsia" w:hAnsiTheme="majorHAnsi" w:cs="Arial"/>
          <w:sz w:val="20"/>
          <w:szCs w:val="20"/>
          <w:lang w:val="en-GB"/>
        </w:rPr>
        <w:t>.</w:t>
      </w:r>
    </w:p>
    <w:p w:rsidR="00FB6AB4" w:rsidRDefault="00FB6AB4" w:rsidP="00FB6AB4">
      <w:pPr>
        <w:jc w:val="both"/>
        <w:rPr>
          <w:rFonts w:asciiTheme="majorHAnsi" w:eastAsiaTheme="minorEastAsia" w:hAnsiTheme="majorHAnsi" w:cs="Arial"/>
          <w:sz w:val="20"/>
          <w:szCs w:val="20"/>
          <w:lang w:val="en-GB"/>
        </w:rPr>
      </w:pPr>
    </w:p>
    <w:p w:rsidR="00ED3C60" w:rsidRPr="004C61F3" w:rsidRDefault="00DE0924" w:rsidP="00FB6AB4">
      <w:pPr>
        <w:jc w:val="both"/>
        <w:rPr>
          <w:rFonts w:asciiTheme="majorHAnsi" w:eastAsiaTheme="minorEastAsia" w:hAnsiTheme="majorHAnsi" w:cs="Arial"/>
          <w:b/>
          <w:sz w:val="20"/>
          <w:szCs w:val="20"/>
          <w:lang w:val="en-GB"/>
        </w:rPr>
      </w:pPr>
      <w:r w:rsidRPr="004C61F3">
        <w:rPr>
          <w:rFonts w:asciiTheme="majorHAnsi" w:eastAsiaTheme="minorEastAsia" w:hAnsiTheme="majorHAnsi" w:cs="Arial"/>
          <w:b/>
          <w:i/>
          <w:sz w:val="20"/>
          <w:szCs w:val="20"/>
          <w:lang w:val="en-GB"/>
        </w:rPr>
        <w:t xml:space="preserve">Ensuring Technical </w:t>
      </w:r>
      <w:r w:rsidR="00481EE7" w:rsidRPr="004C61F3">
        <w:rPr>
          <w:rFonts w:asciiTheme="majorHAnsi" w:eastAsiaTheme="minorEastAsia" w:hAnsiTheme="majorHAnsi" w:cs="Arial"/>
          <w:b/>
          <w:i/>
          <w:sz w:val="20"/>
          <w:szCs w:val="20"/>
          <w:lang w:val="en-GB"/>
        </w:rPr>
        <w:t>Knowledge</w:t>
      </w:r>
      <w:r w:rsidRPr="004C61F3">
        <w:rPr>
          <w:rFonts w:asciiTheme="majorHAnsi" w:eastAsiaTheme="minorEastAsia" w:hAnsiTheme="majorHAnsi" w:cs="Arial"/>
          <w:b/>
          <w:i/>
          <w:sz w:val="20"/>
          <w:szCs w:val="20"/>
          <w:lang w:val="en-GB"/>
        </w:rPr>
        <w:t xml:space="preserve"> Transfer</w:t>
      </w:r>
      <w:r w:rsidRPr="004C61F3">
        <w:rPr>
          <w:rFonts w:asciiTheme="majorHAnsi" w:eastAsiaTheme="minorEastAsia" w:hAnsiTheme="majorHAnsi" w:cs="Arial"/>
          <w:b/>
          <w:sz w:val="20"/>
          <w:szCs w:val="20"/>
          <w:lang w:val="en-GB"/>
        </w:rPr>
        <w:t xml:space="preserve"> </w:t>
      </w:r>
    </w:p>
    <w:p w:rsidR="002210AE" w:rsidRDefault="00DA7F69" w:rsidP="00ED3C60">
      <w:pPr>
        <w:ind w:firstLine="397"/>
        <w:jc w:val="both"/>
        <w:rPr>
          <w:rFonts w:asciiTheme="majorHAnsi" w:hAnsiTheme="majorHAnsi"/>
          <w:sz w:val="20"/>
          <w:szCs w:val="20"/>
        </w:rPr>
      </w:pPr>
      <w:r w:rsidRPr="00DA7F69">
        <w:rPr>
          <w:rFonts w:asciiTheme="majorHAnsi" w:hAnsiTheme="majorHAnsi"/>
          <w:sz w:val="20"/>
        </w:rPr>
        <w:t xml:space="preserve">The aim of the </w:t>
      </w:r>
      <w:r w:rsidR="009F2447">
        <w:rPr>
          <w:rFonts w:asciiTheme="majorHAnsi" w:hAnsiTheme="majorHAnsi"/>
          <w:sz w:val="20"/>
        </w:rPr>
        <w:t xml:space="preserve">‘PowerWheel’ </w:t>
      </w:r>
      <w:r w:rsidRPr="00DA7F69">
        <w:rPr>
          <w:rFonts w:asciiTheme="majorHAnsi" w:hAnsiTheme="majorHAnsi"/>
          <w:sz w:val="20"/>
        </w:rPr>
        <w:t>project was to ensure a validated sensing wheel that could be ‘rolled out’ prior to the Paralympics in London in 2012.</w:t>
      </w:r>
      <w:r w:rsidRPr="00DA7F69">
        <w:rPr>
          <w:rFonts w:asciiTheme="majorHAnsi" w:eastAsiaTheme="minorEastAsia" w:hAnsiTheme="majorHAnsi" w:cs="Arial"/>
          <w:b/>
          <w:sz w:val="20"/>
          <w:szCs w:val="20"/>
          <w:lang w:val="en-GB"/>
        </w:rPr>
        <w:t xml:space="preserve"> </w:t>
      </w:r>
      <w:r>
        <w:rPr>
          <w:rFonts w:asciiTheme="majorHAnsi" w:eastAsiaTheme="minorEastAsia" w:hAnsiTheme="majorHAnsi" w:cs="Arial"/>
          <w:sz w:val="20"/>
          <w:szCs w:val="20"/>
          <w:lang w:val="en-GB"/>
        </w:rPr>
        <w:t>This is a clear deadline</w:t>
      </w:r>
      <w:r w:rsidRPr="00DA7F69">
        <w:rPr>
          <w:rFonts w:asciiTheme="majorHAnsi" w:eastAsiaTheme="minorEastAsia" w:hAnsiTheme="majorHAnsi" w:cs="Arial"/>
          <w:sz w:val="20"/>
          <w:szCs w:val="20"/>
          <w:lang w:val="en-GB"/>
        </w:rPr>
        <w:t xml:space="preserve"> which focuses the world’s attention and </w:t>
      </w:r>
      <w:r>
        <w:rPr>
          <w:rFonts w:asciiTheme="majorHAnsi" w:eastAsiaTheme="minorEastAsia" w:hAnsiTheme="majorHAnsi" w:cs="Arial"/>
          <w:sz w:val="20"/>
          <w:szCs w:val="20"/>
          <w:lang w:val="en-GB"/>
        </w:rPr>
        <w:t xml:space="preserve">offers </w:t>
      </w:r>
      <w:r w:rsidRPr="00DA7F69">
        <w:rPr>
          <w:rFonts w:asciiTheme="majorHAnsi" w:eastAsiaTheme="minorEastAsia" w:hAnsiTheme="majorHAnsi" w:cs="Arial"/>
          <w:sz w:val="20"/>
          <w:szCs w:val="20"/>
          <w:lang w:val="en-GB"/>
        </w:rPr>
        <w:t xml:space="preserve">an opportunity to find a commercial partner for the next phase of development. </w:t>
      </w:r>
      <w:r w:rsidR="00DE0924" w:rsidRPr="00DA7F69">
        <w:rPr>
          <w:rFonts w:asciiTheme="majorHAnsi" w:hAnsiTheme="majorHAnsi"/>
          <w:sz w:val="20"/>
          <w:szCs w:val="20"/>
        </w:rPr>
        <w:t>Success of the</w:t>
      </w:r>
      <w:r w:rsidR="00DE0924" w:rsidRPr="00DE0924">
        <w:rPr>
          <w:rFonts w:asciiTheme="majorHAnsi" w:hAnsiTheme="majorHAnsi"/>
          <w:sz w:val="20"/>
          <w:szCs w:val="20"/>
        </w:rPr>
        <w:t xml:space="preserve"> validation process depend</w:t>
      </w:r>
      <w:r>
        <w:rPr>
          <w:rFonts w:asciiTheme="majorHAnsi" w:hAnsiTheme="majorHAnsi"/>
          <w:sz w:val="20"/>
          <w:szCs w:val="20"/>
        </w:rPr>
        <w:t>ed</w:t>
      </w:r>
      <w:r w:rsidR="00DE0924" w:rsidRPr="00DE0924">
        <w:rPr>
          <w:rFonts w:asciiTheme="majorHAnsi" w:hAnsiTheme="majorHAnsi"/>
          <w:sz w:val="20"/>
          <w:szCs w:val="20"/>
        </w:rPr>
        <w:t xml:space="preserve"> on the transfer of expertise f</w:t>
      </w:r>
      <w:r w:rsidR="00DE0924">
        <w:rPr>
          <w:rFonts w:asciiTheme="majorHAnsi" w:hAnsiTheme="majorHAnsi"/>
          <w:sz w:val="20"/>
          <w:szCs w:val="20"/>
        </w:rPr>
        <w:t>ro</w:t>
      </w:r>
      <w:r w:rsidR="00DE0924" w:rsidRPr="00DE0924">
        <w:rPr>
          <w:rFonts w:asciiTheme="majorHAnsi" w:hAnsiTheme="majorHAnsi"/>
          <w:sz w:val="20"/>
          <w:szCs w:val="20"/>
        </w:rPr>
        <w:t xml:space="preserve">m the basic science laboratory to the test </w:t>
      </w:r>
      <w:r w:rsidR="00E049B6" w:rsidRPr="00DE0924">
        <w:rPr>
          <w:rFonts w:asciiTheme="majorHAnsi" w:hAnsiTheme="majorHAnsi"/>
          <w:sz w:val="20"/>
          <w:szCs w:val="20"/>
        </w:rPr>
        <w:t>environments</w:t>
      </w:r>
      <w:r w:rsidR="00DE0924" w:rsidRPr="00DE0924">
        <w:rPr>
          <w:rFonts w:asciiTheme="majorHAnsi" w:hAnsiTheme="majorHAnsi"/>
          <w:sz w:val="20"/>
          <w:szCs w:val="20"/>
        </w:rPr>
        <w:t xml:space="preserve">. This was exemplified by analysis of the </w:t>
      </w:r>
      <w:r w:rsidR="00DE0924">
        <w:rPr>
          <w:rFonts w:asciiTheme="majorHAnsi" w:hAnsiTheme="majorHAnsi"/>
          <w:sz w:val="20"/>
          <w:szCs w:val="20"/>
        </w:rPr>
        <w:t>EM</w:t>
      </w:r>
      <w:r w:rsidR="00DE0924" w:rsidRPr="00DE0924">
        <w:rPr>
          <w:rFonts w:asciiTheme="majorHAnsi" w:hAnsiTheme="majorHAnsi"/>
          <w:sz w:val="20"/>
          <w:szCs w:val="20"/>
        </w:rPr>
        <w:t xml:space="preserve">G data that was </w:t>
      </w:r>
      <w:r w:rsidR="00E049B6" w:rsidRPr="00DE0924">
        <w:rPr>
          <w:rFonts w:asciiTheme="majorHAnsi" w:hAnsiTheme="majorHAnsi"/>
          <w:sz w:val="20"/>
          <w:szCs w:val="20"/>
        </w:rPr>
        <w:t>synchronized</w:t>
      </w:r>
      <w:r w:rsidR="00DE0924" w:rsidRPr="00DE0924">
        <w:rPr>
          <w:rFonts w:asciiTheme="majorHAnsi" w:hAnsiTheme="majorHAnsi"/>
          <w:sz w:val="20"/>
          <w:szCs w:val="20"/>
        </w:rPr>
        <w:t xml:space="preserve"> with the kinematic data.</w:t>
      </w:r>
      <w:r w:rsidR="00481EE7">
        <w:rPr>
          <w:rFonts w:asciiTheme="majorHAnsi" w:hAnsiTheme="majorHAnsi"/>
          <w:sz w:val="20"/>
          <w:szCs w:val="20"/>
        </w:rPr>
        <w:t xml:space="preserve"> </w:t>
      </w:r>
    </w:p>
    <w:p w:rsidR="00481EE7" w:rsidRDefault="00481EE7" w:rsidP="00ED3C60">
      <w:pPr>
        <w:ind w:firstLine="397"/>
        <w:jc w:val="both"/>
        <w:rPr>
          <w:rFonts w:asciiTheme="majorHAnsi" w:hAnsiTheme="majorHAnsi"/>
          <w:sz w:val="20"/>
          <w:szCs w:val="20"/>
        </w:rPr>
      </w:pPr>
      <w:r>
        <w:rPr>
          <w:rFonts w:asciiTheme="majorHAnsi" w:hAnsiTheme="majorHAnsi"/>
          <w:sz w:val="20"/>
          <w:szCs w:val="20"/>
        </w:rPr>
        <w:t xml:space="preserve">This </w:t>
      </w:r>
      <w:r w:rsidR="002E732B">
        <w:rPr>
          <w:rFonts w:asciiTheme="majorHAnsi" w:hAnsiTheme="majorHAnsi"/>
          <w:sz w:val="20"/>
          <w:szCs w:val="20"/>
        </w:rPr>
        <w:t xml:space="preserve">technique </w:t>
      </w:r>
      <w:r>
        <w:rPr>
          <w:rFonts w:asciiTheme="majorHAnsi" w:hAnsiTheme="majorHAnsi"/>
          <w:sz w:val="20"/>
          <w:szCs w:val="20"/>
        </w:rPr>
        <w:t>was validated in a wheelchair propulsion laboratory (TRL2)</w:t>
      </w:r>
      <w:r w:rsidR="004C61F3">
        <w:rPr>
          <w:rFonts w:asciiTheme="majorHAnsi" w:hAnsiTheme="majorHAnsi"/>
          <w:sz w:val="20"/>
          <w:szCs w:val="20"/>
        </w:rPr>
        <w:t xml:space="preserve"> in Canada</w:t>
      </w:r>
      <w:r>
        <w:rPr>
          <w:rFonts w:asciiTheme="majorHAnsi" w:hAnsiTheme="majorHAnsi"/>
          <w:sz w:val="20"/>
          <w:szCs w:val="20"/>
        </w:rPr>
        <w:t xml:space="preserve">, and then applied in the study of a population of 30 healthy </w:t>
      </w:r>
      <w:r w:rsidR="002E732B">
        <w:rPr>
          <w:rFonts w:asciiTheme="majorHAnsi" w:hAnsiTheme="majorHAnsi"/>
          <w:sz w:val="20"/>
          <w:szCs w:val="20"/>
        </w:rPr>
        <w:t>able bodi</w:t>
      </w:r>
      <w:r>
        <w:rPr>
          <w:rFonts w:asciiTheme="majorHAnsi" w:hAnsiTheme="majorHAnsi"/>
          <w:sz w:val="20"/>
          <w:szCs w:val="20"/>
        </w:rPr>
        <w:t>ed individuals (UCL PAMELA laboratory</w:t>
      </w:r>
      <w:r w:rsidR="004C61F3">
        <w:rPr>
          <w:rFonts w:asciiTheme="majorHAnsi" w:hAnsiTheme="majorHAnsi"/>
          <w:sz w:val="20"/>
          <w:szCs w:val="20"/>
        </w:rPr>
        <w:t>, UK</w:t>
      </w:r>
      <w:r>
        <w:rPr>
          <w:rFonts w:asciiTheme="majorHAnsi" w:hAnsiTheme="majorHAnsi"/>
          <w:sz w:val="20"/>
          <w:szCs w:val="20"/>
        </w:rPr>
        <w:t>) representing validation in a relevant environment (TRL5)</w:t>
      </w:r>
      <w:r w:rsidR="002E732B">
        <w:rPr>
          <w:rFonts w:asciiTheme="majorHAnsi" w:hAnsiTheme="majorHAnsi"/>
          <w:sz w:val="20"/>
          <w:szCs w:val="20"/>
        </w:rPr>
        <w:t>. F</w:t>
      </w:r>
      <w:r>
        <w:rPr>
          <w:rFonts w:asciiTheme="majorHAnsi" w:hAnsiTheme="majorHAnsi"/>
          <w:sz w:val="20"/>
          <w:szCs w:val="20"/>
        </w:rPr>
        <w:t xml:space="preserve">inally </w:t>
      </w:r>
      <w:r w:rsidR="002E732B">
        <w:rPr>
          <w:rFonts w:asciiTheme="majorHAnsi" w:hAnsiTheme="majorHAnsi"/>
          <w:sz w:val="20"/>
          <w:szCs w:val="20"/>
        </w:rPr>
        <w:t xml:space="preserve">the system was evaluated </w:t>
      </w:r>
      <w:r>
        <w:rPr>
          <w:rFonts w:asciiTheme="majorHAnsi" w:hAnsiTheme="majorHAnsi"/>
          <w:sz w:val="20"/>
          <w:szCs w:val="20"/>
        </w:rPr>
        <w:t>in an operational environment (TRL7) at the Stanmore Clinical Research Facility, involving 7 spinal cord injured patients from the London Spinal Cord Injury Centre.</w:t>
      </w:r>
    </w:p>
    <w:p w:rsidR="00481EE7" w:rsidRDefault="00481EE7" w:rsidP="00ED3C60">
      <w:pPr>
        <w:ind w:firstLine="397"/>
        <w:jc w:val="both"/>
        <w:rPr>
          <w:rFonts w:asciiTheme="majorHAnsi" w:hAnsiTheme="majorHAnsi"/>
          <w:sz w:val="20"/>
          <w:szCs w:val="20"/>
        </w:rPr>
      </w:pPr>
    </w:p>
    <w:p w:rsidR="00DE0924" w:rsidRPr="00481EE7" w:rsidRDefault="00DE0924" w:rsidP="00ED3C60">
      <w:pPr>
        <w:jc w:val="both"/>
        <w:rPr>
          <w:rFonts w:asciiTheme="majorHAnsi" w:hAnsiTheme="majorHAnsi"/>
          <w:b/>
          <w:i/>
          <w:sz w:val="20"/>
          <w:szCs w:val="20"/>
        </w:rPr>
      </w:pPr>
      <w:r w:rsidRPr="00481EE7">
        <w:rPr>
          <w:rFonts w:asciiTheme="majorHAnsi" w:hAnsiTheme="majorHAnsi"/>
          <w:b/>
          <w:i/>
          <w:sz w:val="20"/>
          <w:szCs w:val="20"/>
        </w:rPr>
        <w:t>Wavelet analysis of the EMG signal</w:t>
      </w:r>
    </w:p>
    <w:p w:rsidR="00DA7F69" w:rsidRDefault="00DE0924" w:rsidP="00ED3C60">
      <w:pPr>
        <w:ind w:firstLine="397"/>
        <w:jc w:val="both"/>
        <w:rPr>
          <w:rFonts w:asciiTheme="majorHAnsi" w:hAnsiTheme="majorHAnsi" w:cs="Calibri"/>
          <w:sz w:val="20"/>
          <w:szCs w:val="20"/>
        </w:rPr>
      </w:pPr>
      <w:r w:rsidRPr="00DE0924">
        <w:rPr>
          <w:rFonts w:asciiTheme="majorHAnsi" w:hAnsiTheme="majorHAnsi" w:cs="Calibri"/>
          <w:sz w:val="20"/>
          <w:szCs w:val="20"/>
        </w:rPr>
        <w:t>EMG data were normalized to percentage of cycle time and synchronized with kinetic data. All signal processing was performed using custom programs</w:t>
      </w:r>
      <w:r w:rsidR="00045A0A">
        <w:rPr>
          <w:rFonts w:asciiTheme="majorHAnsi" w:hAnsiTheme="majorHAnsi" w:cs="Calibri"/>
          <w:sz w:val="20"/>
          <w:szCs w:val="20"/>
        </w:rPr>
        <w:t>,</w:t>
      </w:r>
      <w:r w:rsidRPr="00DE0924">
        <w:rPr>
          <w:rFonts w:asciiTheme="majorHAnsi" w:hAnsiTheme="majorHAnsi" w:cs="Calibri"/>
          <w:sz w:val="20"/>
          <w:szCs w:val="20"/>
        </w:rPr>
        <w:t xml:space="preserve"> written using Mathematica (version 6.0, Wolfram Inc., Champaign, IL, USA). The EMG signals were resolved into intensities in time-frequency space using wavelet techniques</w:t>
      </w:r>
      <w:r w:rsidR="003916F0">
        <w:rPr>
          <w:rFonts w:asciiTheme="majorHAnsi" w:hAnsiTheme="majorHAnsi" w:cs="Calibri"/>
          <w:sz w:val="20"/>
          <w:szCs w:val="20"/>
        </w:rPr>
        <w:fldChar w:fldCharType="begin"/>
      </w:r>
      <w:r w:rsidR="00DC3C07">
        <w:rPr>
          <w:rFonts w:asciiTheme="majorHAnsi" w:hAnsiTheme="majorHAnsi" w:cs="Calibri"/>
          <w:sz w:val="20"/>
          <w:szCs w:val="20"/>
        </w:rPr>
        <w:instrText xml:space="preserve"> ADDIN REFMGR.CITE &lt;Refman&gt;&lt;Cite&gt;&lt;Author&gt;von Tscharner&lt;/Author&gt;&lt;Year&gt;2000&lt;/Year&gt;&lt;RecNum&gt;43&lt;/RecNum&gt;&lt;IDText&gt; Intensity analysis in time-frequency space of surface myoelectric signals by wavelets of specified resolution.&lt;/IDText&gt;&lt;MDL Ref_Type="Journal (Full)"&gt;&lt;Ref_Type&gt;Journal (Full)&lt;/Ref_Type&gt;&lt;Ref_ID&gt;43&lt;/Ref_ID&gt;&lt;Title_Primary&gt;&lt;f name="Cambria"&gt; &lt;/f&gt;&lt;f name="Cambria"&gt;&lt;i&gt;Intensity analysis in time-frequency space of surface myoelectric signals by wavelets of specified resolution.&lt;/i&gt;&lt;/f&gt;&lt;/Title_Primary&gt;&lt;Authors_Primary&gt;von Tscharner,V.,&lt;/Authors_Primary&gt;&lt;Date_Primary&gt;2000&lt;/Date_Primary&gt;&lt;Reprint&gt;In File&lt;/Reprint&gt;&lt;Start_Page&gt;433&lt;/Start_Page&gt;&lt;End_Page&gt;445&lt;/End_Page&gt;&lt;Periodical&gt;J Electromyogr Kinesiol,&lt;/Periodical&gt;&lt;Volume&gt;10&lt;/Volume&gt;&lt;Issue&gt;6&lt;/Issue&gt;&lt;ZZ_JournalFull&gt;&lt;f name="System"&gt;J Electromyogr Kinesiol,&lt;/f&gt;&lt;/ZZ_JournalFull&gt;&lt;ZZ_WorkformID&gt;32&lt;/ZZ_WorkformID&gt;&lt;/MDL&gt;&lt;/Cite&gt;&lt;/Refman&gt;</w:instrText>
      </w:r>
      <w:r w:rsidR="003916F0">
        <w:rPr>
          <w:rFonts w:asciiTheme="majorHAnsi" w:hAnsiTheme="majorHAnsi" w:cs="Calibri"/>
          <w:sz w:val="20"/>
          <w:szCs w:val="20"/>
        </w:rPr>
        <w:fldChar w:fldCharType="separate"/>
      </w:r>
      <w:r w:rsidR="00DC3C07">
        <w:rPr>
          <w:rFonts w:asciiTheme="majorHAnsi" w:hAnsiTheme="majorHAnsi" w:cs="Calibri"/>
          <w:noProof/>
          <w:sz w:val="20"/>
          <w:szCs w:val="20"/>
        </w:rPr>
        <w:t>(3)</w:t>
      </w:r>
      <w:r w:rsidR="003916F0">
        <w:rPr>
          <w:rFonts w:asciiTheme="majorHAnsi" w:hAnsiTheme="majorHAnsi" w:cs="Calibri"/>
          <w:sz w:val="20"/>
          <w:szCs w:val="20"/>
        </w:rPr>
        <w:fldChar w:fldCharType="end"/>
      </w:r>
      <w:r w:rsidRPr="00DE0924">
        <w:rPr>
          <w:rFonts w:asciiTheme="majorHAnsi" w:hAnsiTheme="majorHAnsi" w:cs="Calibri"/>
          <w:sz w:val="20"/>
          <w:szCs w:val="20"/>
        </w:rPr>
        <w:t xml:space="preserve">. The intensity is a close approximation to the power of the signal contained within a given frequency band, and the intensity spectrum is equivalent to the power spectrum from the signals. A filter bank of 10 non-linearly scaled wavelets was used, index by </w:t>
      </w:r>
      <w:r w:rsidRPr="00045A0A">
        <w:rPr>
          <w:rFonts w:asciiTheme="majorHAnsi" w:hAnsiTheme="majorHAnsi" w:cs="Calibri"/>
          <w:i/>
          <w:sz w:val="20"/>
          <w:szCs w:val="20"/>
        </w:rPr>
        <w:t>k</w:t>
      </w:r>
      <w:r w:rsidRPr="00DE0924">
        <w:rPr>
          <w:rFonts w:asciiTheme="majorHAnsi" w:hAnsiTheme="majorHAnsi" w:cs="Calibri"/>
          <w:sz w:val="20"/>
          <w:szCs w:val="20"/>
        </w:rPr>
        <w:t xml:space="preserve">, with center frequency, fc, ranging from 7 Hz (wavelet 0) to 350 Hz (wavelet 9). The first wavelet of EMG covered a frequency band of 0-10 Hz, which is typically associated with movement artifacts. </w:t>
      </w:r>
    </w:p>
    <w:p w:rsidR="00DE0924" w:rsidRPr="00DE0924" w:rsidRDefault="00DA7F69" w:rsidP="00ED3C60">
      <w:pPr>
        <w:ind w:firstLine="397"/>
        <w:jc w:val="both"/>
        <w:rPr>
          <w:rFonts w:asciiTheme="majorHAnsi" w:hAnsiTheme="majorHAnsi" w:cs="Calibri"/>
          <w:sz w:val="20"/>
          <w:szCs w:val="20"/>
        </w:rPr>
      </w:pPr>
      <w:r>
        <w:rPr>
          <w:rFonts w:asciiTheme="majorHAnsi" w:hAnsiTheme="majorHAnsi" w:cs="Calibri"/>
          <w:sz w:val="20"/>
          <w:szCs w:val="20"/>
        </w:rPr>
        <w:t>T</w:t>
      </w:r>
      <w:r w:rsidR="00DE0924" w:rsidRPr="00DE0924">
        <w:rPr>
          <w:rFonts w:asciiTheme="majorHAnsi" w:hAnsiTheme="majorHAnsi" w:cs="Calibri"/>
          <w:sz w:val="20"/>
          <w:szCs w:val="20"/>
        </w:rPr>
        <w:t>he effects of movement due to dynamic contractions</w:t>
      </w:r>
      <w:r>
        <w:rPr>
          <w:rFonts w:asciiTheme="majorHAnsi" w:hAnsiTheme="majorHAnsi" w:cs="Calibri"/>
          <w:sz w:val="20"/>
          <w:szCs w:val="20"/>
        </w:rPr>
        <w:t xml:space="preserve"> were reduced</w:t>
      </w:r>
      <w:r w:rsidR="00DE0924" w:rsidRPr="00DE0924">
        <w:rPr>
          <w:rFonts w:asciiTheme="majorHAnsi" w:hAnsiTheme="majorHAnsi" w:cs="Calibri"/>
          <w:sz w:val="20"/>
          <w:szCs w:val="20"/>
        </w:rPr>
        <w:t xml:space="preserve"> by removing the first wavelet from the spectra. Total intensity was given by summing the intensities over the selected wavelets (10-350 Hz, </w:t>
      </w:r>
      <w:r w:rsidR="00DE0924" w:rsidRPr="00045A0A">
        <w:rPr>
          <w:rFonts w:asciiTheme="majorHAnsi" w:hAnsiTheme="majorHAnsi" w:cs="Calibri"/>
          <w:i/>
          <w:sz w:val="20"/>
          <w:szCs w:val="20"/>
        </w:rPr>
        <w:t>k</w:t>
      </w:r>
      <w:r w:rsidR="00DE0924" w:rsidRPr="00DE0924">
        <w:rPr>
          <w:rFonts w:asciiTheme="majorHAnsi" w:hAnsiTheme="majorHAnsi" w:cs="Calibri"/>
          <w:sz w:val="20"/>
          <w:szCs w:val="20"/>
        </w:rPr>
        <w:t xml:space="preserve"> = 1-9). Total intensity is a measure of the time-varying power within the signal and is equivalent to twice the square of the root-mean-square</w:t>
      </w:r>
      <w:r w:rsidR="00045A0A">
        <w:rPr>
          <w:rFonts w:asciiTheme="majorHAnsi" w:hAnsiTheme="majorHAnsi" w:cs="Calibri"/>
          <w:sz w:val="20"/>
          <w:szCs w:val="20"/>
        </w:rPr>
        <w:t xml:space="preserve"> (2rms</w:t>
      </w:r>
      <w:r w:rsidR="00045A0A" w:rsidRPr="00045A0A">
        <w:rPr>
          <w:rFonts w:asciiTheme="majorHAnsi" w:hAnsiTheme="majorHAnsi" w:cs="Calibri"/>
          <w:sz w:val="20"/>
          <w:szCs w:val="20"/>
          <w:vertAlign w:val="superscript"/>
        </w:rPr>
        <w:t>2</w:t>
      </w:r>
      <w:r w:rsidR="00045A0A">
        <w:rPr>
          <w:rFonts w:asciiTheme="majorHAnsi" w:hAnsiTheme="majorHAnsi" w:cs="Calibri"/>
          <w:sz w:val="20"/>
          <w:szCs w:val="20"/>
        </w:rPr>
        <w:t>)</w:t>
      </w:r>
      <w:r w:rsidR="00DE0924" w:rsidRPr="00DE0924">
        <w:rPr>
          <w:rFonts w:asciiTheme="majorHAnsi" w:hAnsiTheme="majorHAnsi" w:cs="Calibri"/>
          <w:sz w:val="20"/>
          <w:szCs w:val="20"/>
        </w:rPr>
        <w:t xml:space="preserve">. </w:t>
      </w:r>
      <w:r w:rsidR="004C61F3">
        <w:rPr>
          <w:rFonts w:asciiTheme="majorHAnsi" w:hAnsiTheme="majorHAnsi" w:cs="Calibri"/>
          <w:sz w:val="20"/>
          <w:szCs w:val="20"/>
        </w:rPr>
        <w:t xml:space="preserve"> This technique was uniformly applied across the three studies, at stages TRL2,</w:t>
      </w:r>
      <w:r w:rsidR="00045A0A">
        <w:rPr>
          <w:rFonts w:asciiTheme="majorHAnsi" w:hAnsiTheme="majorHAnsi" w:cs="Calibri"/>
          <w:sz w:val="20"/>
          <w:szCs w:val="20"/>
        </w:rPr>
        <w:t xml:space="preserve"> </w:t>
      </w:r>
      <w:r w:rsidR="004C61F3">
        <w:rPr>
          <w:rFonts w:asciiTheme="majorHAnsi" w:hAnsiTheme="majorHAnsi" w:cs="Calibri"/>
          <w:sz w:val="20"/>
          <w:szCs w:val="20"/>
        </w:rPr>
        <w:t>5 and 7.</w:t>
      </w:r>
    </w:p>
    <w:p w:rsidR="00DE0924" w:rsidRPr="00DE0924" w:rsidRDefault="00DA7F69" w:rsidP="00ED3C60">
      <w:pPr>
        <w:pStyle w:val="Heading3"/>
        <w:spacing w:line="240" w:lineRule="auto"/>
        <w:rPr>
          <w:sz w:val="20"/>
          <w:szCs w:val="20"/>
        </w:rPr>
      </w:pPr>
      <w:r>
        <w:rPr>
          <w:sz w:val="20"/>
          <w:szCs w:val="20"/>
        </w:rPr>
        <w:t>E</w:t>
      </w:r>
      <w:r w:rsidR="00DE0924" w:rsidRPr="00DE0924">
        <w:rPr>
          <w:sz w:val="20"/>
          <w:szCs w:val="20"/>
        </w:rPr>
        <w:t>MG activities</w:t>
      </w:r>
    </w:p>
    <w:p w:rsidR="00DE0924" w:rsidRDefault="004C61F3" w:rsidP="00ED3C60">
      <w:pPr>
        <w:ind w:firstLine="397"/>
        <w:jc w:val="both"/>
        <w:rPr>
          <w:rFonts w:asciiTheme="majorHAnsi" w:hAnsiTheme="majorHAnsi" w:cs="Calibri"/>
          <w:sz w:val="20"/>
          <w:szCs w:val="20"/>
        </w:rPr>
      </w:pPr>
      <w:r>
        <w:rPr>
          <w:rFonts w:asciiTheme="majorHAnsi" w:hAnsiTheme="majorHAnsi" w:cs="Calibri"/>
          <w:sz w:val="20"/>
          <w:szCs w:val="20"/>
        </w:rPr>
        <w:t xml:space="preserve">EMG signals represent the activity of an organ (muscle) and collectively the patterning represents an anatomical system, in this case the shoulder joint musculature. </w:t>
      </w:r>
      <w:r w:rsidR="00DE0924" w:rsidRPr="00DE0924">
        <w:rPr>
          <w:rFonts w:asciiTheme="majorHAnsi" w:hAnsiTheme="majorHAnsi" w:cs="Calibri"/>
          <w:sz w:val="20"/>
          <w:szCs w:val="20"/>
        </w:rPr>
        <w:t xml:space="preserve">Wheelchair propulsion involves 2 phases, the </w:t>
      </w:r>
      <w:r w:rsidR="00481EE7">
        <w:rPr>
          <w:rFonts w:asciiTheme="majorHAnsi" w:hAnsiTheme="majorHAnsi" w:cs="Calibri"/>
          <w:sz w:val="20"/>
          <w:szCs w:val="20"/>
        </w:rPr>
        <w:t xml:space="preserve">push and the recovery phase </w:t>
      </w:r>
      <w:r w:rsidR="003916F0">
        <w:rPr>
          <w:rFonts w:asciiTheme="majorHAnsi" w:hAnsiTheme="majorHAnsi" w:cs="Calibri"/>
          <w:sz w:val="20"/>
          <w:szCs w:val="20"/>
        </w:rPr>
        <w:fldChar w:fldCharType="begin"/>
      </w:r>
      <w:r w:rsidR="00DC3C07">
        <w:rPr>
          <w:rFonts w:asciiTheme="majorHAnsi" w:hAnsiTheme="majorHAnsi" w:cs="Calibri"/>
          <w:sz w:val="20"/>
          <w:szCs w:val="20"/>
        </w:rPr>
        <w:instrText xml:space="preserve"> ADDIN REFMGR.CITE &lt;Refman&gt;&lt;Cite&gt;&lt;Author&gt;Kulig&lt;/Author&gt;&lt;Year&gt;1998&lt;/Year&gt;&lt;RecNum&gt;36&lt;/RecNum&gt;&lt;IDText&gt; Shoulder joint kinetics during the push phase of wheelchair propulsion&lt;/IDText&gt;&lt;MDL Ref_Type="Journal (Full)"&gt;&lt;Ref_Type&gt;Journal (Full)&lt;/Ref_Type&gt;&lt;Ref_ID&gt;36&lt;/Ref_ID&gt;&lt;Title_Primary&gt;&lt;f name="Cambria"&gt; &lt;/f&gt;&lt;f name="Cambria"&gt;&lt;i&gt;Shoulder joint kinetics during the push phase of wheelchair propulsion&lt;/i&gt;&lt;/f&gt;&lt;/Title_Primary&gt;&lt;Authors_Primary&gt;Kulig,K.,et al.,&lt;/Authors_Primary&gt;&lt;Date_Primary&gt;1998&lt;/Date_Primary&gt;&lt;Keywords&gt;Shoulder&lt;/Keywords&gt;&lt;Reprint&gt;In File&lt;/Reprint&gt;&lt;Start_Page&gt;132&lt;/Start_Page&gt;&lt;End_Page&gt;143&lt;/End_Page&gt;&lt;Periodical&gt;Clin Orthop Relat Res,&lt;/Periodical&gt;&lt;Issue&gt;354&lt;/Issue&gt;&lt;ZZ_JournalFull&gt;&lt;f name="System"&gt;Clin Orthop Relat Res,&lt;/f&gt;&lt;/ZZ_JournalFull&gt;&lt;ZZ_WorkformID&gt;32&lt;/ZZ_WorkformID&gt;&lt;/MDL&gt;&lt;/Cite&gt;&lt;Cite&gt;&lt;Author&gt;Veeger&lt;/Author&gt;&lt;Year&gt;2002&lt;/Year&gt;&lt;RecNum&gt;37&lt;/RecNum&gt;&lt;IDText&gt;Load on the shoulder in low intensity wheelchair propulsion. &lt;/IDText&gt;&lt;MDL Ref_Type="Journal (Full)"&gt;&lt;Ref_Type&gt;Journal (Full)&lt;/Ref_Type&gt;&lt;Ref_ID&gt;37&lt;/Ref_ID&gt;&lt;Title_Primary&gt;&lt;f name="Cambria"&gt;&lt;i&gt;Load on the shoulder in low intensity wheelchair propulsion.&lt;/i&gt;&lt;/f&gt;&lt;f name="Cambria"&gt; &lt;/f&gt;&lt;/Title_Primary&gt;&lt;Authors_Primary&gt;Veeger,H.E.,L.A.Rozendaal,and F.C.van der Helm,&lt;/Authors_Primary&gt;&lt;Date_Primary&gt;2002&lt;/Date_Primary&gt;&lt;Keywords&gt;Shoulder&lt;/Keywords&gt;&lt;Reprint&gt;In File&lt;/Reprint&gt;&lt;Start_Page&gt;211&lt;/Start_Page&gt;&lt;End_Page&gt;218&lt;/End_Page&gt;&lt;Periodical&gt;Clin Biomech (Bristol, Avon),&lt;/Periodical&gt;&lt;Volume&gt;17&lt;/Volume&gt;&lt;Issue&gt;3&lt;/Issue&gt;&lt;ZZ_JournalFull&gt;&lt;f name="System"&gt;Clin Biomech (Bristol, Avon),&lt;/f&gt;&lt;/ZZ_JournalFull&gt;&lt;ZZ_WorkformID&gt;32&lt;/ZZ_WorkformID&gt;&lt;/MDL&gt;&lt;/Cite&gt;&lt;/Refman&gt;</w:instrText>
      </w:r>
      <w:r w:rsidR="003916F0">
        <w:rPr>
          <w:rFonts w:asciiTheme="majorHAnsi" w:hAnsiTheme="majorHAnsi" w:cs="Calibri"/>
          <w:sz w:val="20"/>
          <w:szCs w:val="20"/>
        </w:rPr>
        <w:fldChar w:fldCharType="separate"/>
      </w:r>
      <w:r w:rsidR="00DC3C07">
        <w:rPr>
          <w:rFonts w:asciiTheme="majorHAnsi" w:hAnsiTheme="majorHAnsi" w:cs="Calibri"/>
          <w:noProof/>
          <w:sz w:val="20"/>
          <w:szCs w:val="20"/>
        </w:rPr>
        <w:t>(4;5)</w:t>
      </w:r>
      <w:r w:rsidR="003916F0">
        <w:rPr>
          <w:rFonts w:asciiTheme="majorHAnsi" w:hAnsiTheme="majorHAnsi" w:cs="Calibri"/>
          <w:sz w:val="20"/>
          <w:szCs w:val="20"/>
        </w:rPr>
        <w:fldChar w:fldCharType="end"/>
      </w:r>
      <w:r w:rsidR="00DE0924" w:rsidRPr="00DE0924">
        <w:rPr>
          <w:rFonts w:asciiTheme="majorHAnsi" w:hAnsiTheme="majorHAnsi" w:cs="Calibri"/>
          <w:sz w:val="20"/>
          <w:szCs w:val="20"/>
        </w:rPr>
        <w:t>. Anterior deltoid, pectoralis major, biceps, and triceps have primary activity during the push phase for the forward push. The general pattern of push phase muscles was characterized by the onset of activity in the late recovery phase during the arm return and push preparation phases. The EMG intensity of these muscles was higher in sprint than in straight push, which indicates that fast speed wheelchair propulsion places higher load on these shoulder muscles and hence requires higher muscle activation levels.</w:t>
      </w:r>
      <w:r w:rsidR="00DA7F69">
        <w:rPr>
          <w:rFonts w:asciiTheme="majorHAnsi" w:hAnsiTheme="majorHAnsi" w:cs="Calibri"/>
          <w:sz w:val="20"/>
          <w:szCs w:val="20"/>
        </w:rPr>
        <w:t xml:space="preserve"> Similar patterns of activity were seen at all three </w:t>
      </w:r>
      <w:r w:rsidR="00E049B6">
        <w:rPr>
          <w:rFonts w:asciiTheme="majorHAnsi" w:hAnsiTheme="majorHAnsi" w:cs="Calibri"/>
          <w:sz w:val="20"/>
          <w:szCs w:val="20"/>
        </w:rPr>
        <w:t>validation stages</w:t>
      </w:r>
      <w:r w:rsidR="00DA7F69">
        <w:rPr>
          <w:rFonts w:asciiTheme="majorHAnsi" w:hAnsiTheme="majorHAnsi" w:cs="Calibri"/>
          <w:sz w:val="20"/>
          <w:szCs w:val="20"/>
        </w:rPr>
        <w:t>.</w:t>
      </w:r>
    </w:p>
    <w:p w:rsidR="00DE0924" w:rsidRDefault="00DE0924" w:rsidP="00ED3C60">
      <w:pPr>
        <w:ind w:firstLine="397"/>
        <w:jc w:val="both"/>
        <w:rPr>
          <w:rFonts w:asciiTheme="majorHAnsi" w:hAnsiTheme="majorHAnsi" w:cs="Calibri"/>
          <w:sz w:val="20"/>
          <w:szCs w:val="20"/>
        </w:rPr>
      </w:pPr>
      <w:r w:rsidRPr="00DE0924">
        <w:rPr>
          <w:rFonts w:asciiTheme="majorHAnsi" w:hAnsiTheme="majorHAnsi" w:cs="Calibri"/>
          <w:sz w:val="20"/>
          <w:szCs w:val="20"/>
        </w:rPr>
        <w:t xml:space="preserve">After the follow-through of </w:t>
      </w:r>
      <w:r w:rsidR="00045A0A">
        <w:rPr>
          <w:rFonts w:asciiTheme="majorHAnsi" w:hAnsiTheme="majorHAnsi" w:cs="Calibri"/>
          <w:sz w:val="20"/>
          <w:szCs w:val="20"/>
        </w:rPr>
        <w:t xml:space="preserve">the </w:t>
      </w:r>
      <w:r w:rsidRPr="00DE0924">
        <w:rPr>
          <w:rFonts w:asciiTheme="majorHAnsi" w:hAnsiTheme="majorHAnsi" w:cs="Calibri"/>
          <w:sz w:val="20"/>
          <w:szCs w:val="20"/>
        </w:rPr>
        <w:t xml:space="preserve">push phase, the shoulder motions reversed direction in the recovery phase.  The recovery muscles, middle deltoid, supraspinatus, latissimus dorsi, and subscapularis, contracted eccentrically to restrain shoulder flexion and then contracted concentrically to return the arm to its starting position.  The EMG intensities of these muscles were significantly higher for sprint than for straight push, which may be associated </w:t>
      </w:r>
      <w:r w:rsidR="002210AE">
        <w:rPr>
          <w:rFonts w:asciiTheme="majorHAnsi" w:hAnsiTheme="majorHAnsi" w:cs="Calibri"/>
          <w:sz w:val="20"/>
          <w:szCs w:val="20"/>
        </w:rPr>
        <w:t xml:space="preserve">with </w:t>
      </w:r>
      <w:r w:rsidRPr="00DE0924">
        <w:rPr>
          <w:rFonts w:asciiTheme="majorHAnsi" w:hAnsiTheme="majorHAnsi" w:cs="Calibri"/>
          <w:sz w:val="20"/>
          <w:szCs w:val="20"/>
        </w:rPr>
        <w:t>rapid movement in the recovery phase. Participants executed the propulsion cycle faster to maintain increased speed.</w:t>
      </w:r>
    </w:p>
    <w:p w:rsidR="00DE0924" w:rsidRPr="00DE0924" w:rsidRDefault="00DE0924" w:rsidP="00ED3C60">
      <w:pPr>
        <w:ind w:firstLine="397"/>
        <w:jc w:val="both"/>
        <w:rPr>
          <w:rFonts w:asciiTheme="majorHAnsi" w:hAnsiTheme="majorHAnsi" w:cs="Calibri"/>
          <w:sz w:val="20"/>
          <w:szCs w:val="20"/>
        </w:rPr>
      </w:pPr>
      <w:r w:rsidRPr="00DE0924">
        <w:rPr>
          <w:rFonts w:asciiTheme="majorHAnsi" w:hAnsiTheme="majorHAnsi" w:cs="Calibri"/>
          <w:sz w:val="20"/>
          <w:szCs w:val="20"/>
        </w:rPr>
        <w:t>Compared to forward push, the tested muscles displayed different patterns in backward push. The push muscles were active during the mid-push and mid-recovery phase, whereas the recovery muscles were active during the late-recovery and early push phases. The EMG intensity of push muscles was lower in backward push than in forward push, while the recovery muscles showed a higher EMG activity in backw</w:t>
      </w:r>
      <w:r w:rsidR="00DA7F69">
        <w:rPr>
          <w:rFonts w:asciiTheme="majorHAnsi" w:hAnsiTheme="majorHAnsi" w:cs="Calibri"/>
          <w:sz w:val="20"/>
          <w:szCs w:val="20"/>
        </w:rPr>
        <w:t>ard push than in forward push.</w:t>
      </w:r>
      <w:r w:rsidRPr="00DE0924">
        <w:rPr>
          <w:rFonts w:asciiTheme="majorHAnsi" w:hAnsiTheme="majorHAnsi" w:cs="Calibri"/>
          <w:sz w:val="20"/>
          <w:szCs w:val="20"/>
        </w:rPr>
        <w:t xml:space="preserve"> It has been reported that long term use of the manual wheelchair leads to muscle imbalance, overdevelopment, strengthening and shortening of the anterior deltoid and pectoralis </w:t>
      </w:r>
      <w:r w:rsidR="00045A0A">
        <w:rPr>
          <w:rFonts w:asciiTheme="majorHAnsi" w:hAnsiTheme="majorHAnsi" w:cs="Calibri"/>
          <w:sz w:val="20"/>
          <w:szCs w:val="20"/>
        </w:rPr>
        <w:t>with</w:t>
      </w:r>
      <w:r w:rsidRPr="00DE0924">
        <w:rPr>
          <w:rFonts w:asciiTheme="majorHAnsi" w:hAnsiTheme="majorHAnsi" w:cs="Calibri"/>
          <w:sz w:val="20"/>
          <w:szCs w:val="20"/>
        </w:rPr>
        <w:t xml:space="preserve"> weakening and lengthening of the opposing muscle groups </w:t>
      </w:r>
      <w:r w:rsidR="003916F0">
        <w:rPr>
          <w:rFonts w:asciiTheme="majorHAnsi" w:hAnsiTheme="majorHAnsi" w:cs="Calibri"/>
          <w:sz w:val="20"/>
          <w:szCs w:val="20"/>
        </w:rPr>
        <w:fldChar w:fldCharType="begin">
          <w:fldData xml:space="preserve">PFJlZm1hbj48Q2l0ZT48QXV0aG9yPkxpbjwvQXV0aG9yPjxZZWFyPjIwMDQ8L1llYXI+PFJlY051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</w:fldData>
        </w:fldChar>
      </w:r>
      <w:r w:rsidR="00DC3C07">
        <w:rPr>
          <w:rFonts w:asciiTheme="majorHAnsi" w:hAnsiTheme="majorHAnsi" w:cs="Calibri"/>
          <w:sz w:val="20"/>
          <w:szCs w:val="20"/>
        </w:rPr>
        <w:instrText xml:space="preserve"> ADDIN REFMGR.CITE </w:instrText>
      </w:r>
      <w:r w:rsidR="003916F0">
        <w:rPr>
          <w:rFonts w:asciiTheme="majorHAnsi" w:hAnsiTheme="majorHAnsi" w:cs="Calibri"/>
          <w:sz w:val="20"/>
          <w:szCs w:val="20"/>
        </w:rPr>
        <w:fldChar w:fldCharType="begin">
          <w:fldData xml:space="preserve">PFJlZm1hbj48Q2l0ZT48QXV0aG9yPkxpbjwvQXV0aG9yPjxZZWFyPjIwMDQ8L1llYXI+PFJlY051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</w:fldData>
        </w:fldChar>
      </w:r>
      <w:r w:rsidR="00DC3C07">
        <w:rPr>
          <w:rFonts w:asciiTheme="majorHAnsi" w:hAnsiTheme="majorHAnsi" w:cs="Calibri"/>
          <w:sz w:val="20"/>
          <w:szCs w:val="20"/>
        </w:rPr>
        <w:instrText xml:space="preserve"> ADDIN EN.CITE.DATA </w:instrText>
      </w:r>
      <w:r w:rsidR="003916F0">
        <w:rPr>
          <w:rFonts w:asciiTheme="majorHAnsi" w:hAnsiTheme="majorHAnsi" w:cs="Calibri"/>
          <w:sz w:val="20"/>
          <w:szCs w:val="20"/>
        </w:rPr>
      </w:r>
      <w:r w:rsidR="003916F0">
        <w:rPr>
          <w:rFonts w:asciiTheme="majorHAnsi" w:hAnsiTheme="majorHAnsi" w:cs="Calibri"/>
          <w:sz w:val="20"/>
          <w:szCs w:val="20"/>
        </w:rPr>
        <w:fldChar w:fldCharType="end"/>
      </w:r>
      <w:r w:rsidR="003916F0">
        <w:rPr>
          <w:rFonts w:asciiTheme="majorHAnsi" w:hAnsiTheme="majorHAnsi" w:cs="Calibri"/>
          <w:sz w:val="20"/>
          <w:szCs w:val="20"/>
        </w:rPr>
      </w:r>
      <w:r w:rsidR="003916F0">
        <w:rPr>
          <w:rFonts w:asciiTheme="majorHAnsi" w:hAnsiTheme="majorHAnsi" w:cs="Calibri"/>
          <w:sz w:val="20"/>
          <w:szCs w:val="20"/>
        </w:rPr>
        <w:fldChar w:fldCharType="separate"/>
      </w:r>
      <w:r w:rsidR="00DC3C07">
        <w:rPr>
          <w:rFonts w:asciiTheme="majorHAnsi" w:hAnsiTheme="majorHAnsi" w:cs="Calibri"/>
          <w:noProof/>
          <w:sz w:val="20"/>
          <w:szCs w:val="20"/>
        </w:rPr>
        <w:t>(6-10)</w:t>
      </w:r>
      <w:r w:rsidR="003916F0">
        <w:rPr>
          <w:rFonts w:asciiTheme="majorHAnsi" w:hAnsiTheme="majorHAnsi" w:cs="Calibri"/>
          <w:sz w:val="20"/>
          <w:szCs w:val="20"/>
        </w:rPr>
        <w:fldChar w:fldCharType="end"/>
      </w:r>
      <w:r w:rsidRPr="00DE0924">
        <w:rPr>
          <w:rFonts w:asciiTheme="majorHAnsi" w:hAnsiTheme="majorHAnsi" w:cs="Calibri"/>
          <w:sz w:val="20"/>
          <w:szCs w:val="20"/>
        </w:rPr>
        <w:t xml:space="preserve">. Backward push would </w:t>
      </w:r>
      <w:r w:rsidR="00DA7F69">
        <w:rPr>
          <w:rFonts w:asciiTheme="majorHAnsi" w:hAnsiTheme="majorHAnsi" w:cs="Calibri"/>
          <w:sz w:val="20"/>
          <w:szCs w:val="20"/>
        </w:rPr>
        <w:t xml:space="preserve">therefore </w:t>
      </w:r>
      <w:r w:rsidRPr="00DE0924">
        <w:rPr>
          <w:rFonts w:asciiTheme="majorHAnsi" w:hAnsiTheme="majorHAnsi" w:cs="Calibri"/>
          <w:sz w:val="20"/>
          <w:szCs w:val="20"/>
        </w:rPr>
        <w:t xml:space="preserve">be a good exercise for manual wheelchair users to strengthen posterior musculature. </w:t>
      </w:r>
    </w:p>
    <w:p w:rsidR="004C61F3" w:rsidRDefault="004C61F3" w:rsidP="00ED3C60">
      <w:pPr>
        <w:jc w:val="both"/>
        <w:rPr>
          <w:rFonts w:asciiTheme="majorHAnsi" w:eastAsiaTheme="minorEastAsia" w:hAnsiTheme="majorHAnsi" w:cs="Arial"/>
          <w:b/>
          <w:sz w:val="20"/>
          <w:szCs w:val="20"/>
          <w:lang w:val="en-GB"/>
        </w:rPr>
      </w:pPr>
    </w:p>
    <w:p w:rsidR="00F177E4" w:rsidRPr="00F177E4" w:rsidRDefault="00180DFE" w:rsidP="00ED3C60">
      <w:pPr>
        <w:jc w:val="both"/>
        <w:rPr>
          <w:rFonts w:asciiTheme="majorHAnsi" w:eastAsiaTheme="minorEastAsia" w:hAnsiTheme="majorHAnsi" w:cs="Arial"/>
          <w:b/>
          <w:sz w:val="20"/>
          <w:szCs w:val="20"/>
          <w:lang w:val="en-GB"/>
        </w:rPr>
      </w:pPr>
      <w:r w:rsidRPr="00F177E4">
        <w:rPr>
          <w:rFonts w:asciiTheme="majorHAnsi" w:eastAsiaTheme="minorEastAsia" w:hAnsiTheme="majorHAnsi" w:cs="Arial"/>
          <w:b/>
          <w:sz w:val="20"/>
          <w:szCs w:val="20"/>
          <w:lang w:val="en-GB"/>
        </w:rPr>
        <w:t xml:space="preserve">Conclusions </w:t>
      </w:r>
    </w:p>
    <w:p w:rsidR="00180DFE" w:rsidRPr="00180DFE" w:rsidRDefault="002210AE" w:rsidP="00ED3C60">
      <w:pPr>
        <w:ind w:firstLine="397"/>
        <w:jc w:val="both"/>
        <w:rPr>
          <w:rFonts w:asciiTheme="majorHAnsi" w:eastAsiaTheme="minorEastAsia" w:hAnsiTheme="majorHAnsi" w:cs="Arial"/>
          <w:sz w:val="20"/>
          <w:szCs w:val="20"/>
          <w:lang w:val="en-GB"/>
        </w:rPr>
      </w:pPr>
      <w:r>
        <w:rPr>
          <w:rFonts w:asciiTheme="majorHAnsi" w:eastAsiaTheme="minorEastAsia" w:hAnsiTheme="majorHAnsi" w:cs="Arial"/>
          <w:sz w:val="20"/>
          <w:szCs w:val="20"/>
          <w:lang w:val="en-GB"/>
        </w:rPr>
        <w:t>At differe</w:t>
      </w:r>
      <w:r w:rsidR="00045A0A">
        <w:rPr>
          <w:rFonts w:asciiTheme="majorHAnsi" w:eastAsiaTheme="minorEastAsia" w:hAnsiTheme="majorHAnsi" w:cs="Arial"/>
          <w:sz w:val="20"/>
          <w:szCs w:val="20"/>
          <w:lang w:val="en-GB"/>
        </w:rPr>
        <w:t>n</w:t>
      </w:r>
      <w:r>
        <w:rPr>
          <w:rFonts w:asciiTheme="majorHAnsi" w:eastAsiaTheme="minorEastAsia" w:hAnsiTheme="majorHAnsi" w:cs="Arial"/>
          <w:sz w:val="20"/>
          <w:szCs w:val="20"/>
          <w:lang w:val="en-GB"/>
        </w:rPr>
        <w:t>t</w:t>
      </w:r>
      <w:r w:rsidR="00045A0A">
        <w:rPr>
          <w:rFonts w:asciiTheme="majorHAnsi" w:eastAsiaTheme="minorEastAsia" w:hAnsiTheme="majorHAnsi" w:cs="Arial"/>
          <w:sz w:val="20"/>
          <w:szCs w:val="20"/>
          <w:lang w:val="en-GB"/>
        </w:rPr>
        <w:t xml:space="preserve"> stages of the translational research pipe, </w:t>
      </w:r>
      <w:r>
        <w:rPr>
          <w:rFonts w:asciiTheme="majorHAnsi" w:eastAsiaTheme="minorEastAsia" w:hAnsiTheme="majorHAnsi" w:cs="Arial"/>
          <w:sz w:val="20"/>
          <w:szCs w:val="20"/>
          <w:lang w:val="en-GB"/>
        </w:rPr>
        <w:t xml:space="preserve">demonstration of </w:t>
      </w:r>
      <w:r w:rsidR="00045A0A">
        <w:rPr>
          <w:rFonts w:asciiTheme="majorHAnsi" w:eastAsiaTheme="minorEastAsia" w:hAnsiTheme="majorHAnsi" w:cs="Arial"/>
          <w:sz w:val="20"/>
          <w:szCs w:val="20"/>
          <w:lang w:val="en-GB"/>
        </w:rPr>
        <w:t>t</w:t>
      </w:r>
      <w:r w:rsidR="004C61F3">
        <w:rPr>
          <w:rFonts w:asciiTheme="majorHAnsi" w:eastAsiaTheme="minorEastAsia" w:hAnsiTheme="majorHAnsi" w:cs="Arial"/>
          <w:sz w:val="20"/>
          <w:szCs w:val="20"/>
          <w:lang w:val="en-GB"/>
        </w:rPr>
        <w:t>he consistency of EMG patterning across the validation steps</w:t>
      </w:r>
      <w:r>
        <w:rPr>
          <w:rFonts w:asciiTheme="majorHAnsi" w:eastAsiaTheme="minorEastAsia" w:hAnsiTheme="majorHAnsi" w:cs="Arial"/>
          <w:sz w:val="20"/>
          <w:szCs w:val="20"/>
          <w:lang w:val="en-GB"/>
        </w:rPr>
        <w:t>,</w:t>
      </w:r>
      <w:r w:rsidR="004C61F3">
        <w:rPr>
          <w:rFonts w:asciiTheme="majorHAnsi" w:eastAsiaTheme="minorEastAsia" w:hAnsiTheme="majorHAnsi" w:cs="Arial"/>
          <w:sz w:val="20"/>
          <w:szCs w:val="20"/>
          <w:lang w:val="en-GB"/>
        </w:rPr>
        <w:t xml:space="preserve"> </w:t>
      </w:r>
      <w:r w:rsidR="00045A0A">
        <w:rPr>
          <w:rFonts w:asciiTheme="majorHAnsi" w:eastAsiaTheme="minorEastAsia" w:hAnsiTheme="majorHAnsi" w:cs="Arial"/>
          <w:sz w:val="20"/>
          <w:szCs w:val="20"/>
          <w:lang w:val="en-GB"/>
        </w:rPr>
        <w:t>coordinated with</w:t>
      </w:r>
      <w:r w:rsidR="004C61F3">
        <w:rPr>
          <w:rFonts w:asciiTheme="majorHAnsi" w:eastAsiaTheme="minorEastAsia" w:hAnsiTheme="majorHAnsi" w:cs="Arial"/>
          <w:sz w:val="20"/>
          <w:szCs w:val="20"/>
          <w:lang w:val="en-GB"/>
        </w:rPr>
        <w:t xml:space="preserve"> consistent kinematic data collection</w:t>
      </w:r>
      <w:r>
        <w:rPr>
          <w:rFonts w:asciiTheme="majorHAnsi" w:eastAsiaTheme="minorEastAsia" w:hAnsiTheme="majorHAnsi" w:cs="Arial"/>
          <w:sz w:val="20"/>
          <w:szCs w:val="20"/>
          <w:lang w:val="en-GB"/>
        </w:rPr>
        <w:t>,</w:t>
      </w:r>
      <w:r w:rsidR="004C61F3">
        <w:rPr>
          <w:rFonts w:asciiTheme="majorHAnsi" w:eastAsiaTheme="minorEastAsia" w:hAnsiTheme="majorHAnsi" w:cs="Arial"/>
          <w:sz w:val="20"/>
          <w:szCs w:val="20"/>
          <w:lang w:val="en-GB"/>
        </w:rPr>
        <w:t xml:space="preserve"> suggest</w:t>
      </w:r>
      <w:r w:rsidR="00045A0A">
        <w:rPr>
          <w:rFonts w:asciiTheme="majorHAnsi" w:eastAsiaTheme="minorEastAsia" w:hAnsiTheme="majorHAnsi" w:cs="Arial"/>
          <w:sz w:val="20"/>
          <w:szCs w:val="20"/>
          <w:lang w:val="en-GB"/>
        </w:rPr>
        <w:t>s</w:t>
      </w:r>
      <w:r w:rsidR="004C61F3">
        <w:rPr>
          <w:rFonts w:asciiTheme="majorHAnsi" w:eastAsiaTheme="minorEastAsia" w:hAnsiTheme="majorHAnsi" w:cs="Arial"/>
          <w:sz w:val="20"/>
          <w:szCs w:val="20"/>
          <w:lang w:val="en-GB"/>
        </w:rPr>
        <w:t xml:space="preserve"> that the wheel c</w:t>
      </w:r>
      <w:r w:rsidR="00045A0A">
        <w:rPr>
          <w:rFonts w:asciiTheme="majorHAnsi" w:eastAsiaTheme="minorEastAsia" w:hAnsiTheme="majorHAnsi" w:cs="Arial"/>
          <w:sz w:val="20"/>
          <w:szCs w:val="20"/>
          <w:lang w:val="en-GB"/>
        </w:rPr>
        <w:t>ould</w:t>
      </w:r>
      <w:r w:rsidR="004C61F3">
        <w:rPr>
          <w:rFonts w:asciiTheme="majorHAnsi" w:eastAsiaTheme="minorEastAsia" w:hAnsiTheme="majorHAnsi" w:cs="Arial"/>
          <w:sz w:val="20"/>
          <w:szCs w:val="20"/>
          <w:lang w:val="en-GB"/>
        </w:rPr>
        <w:t xml:space="preserve"> transition to its next step for development, with confidence that it effectively add</w:t>
      </w:r>
      <w:r w:rsidR="00045A0A">
        <w:rPr>
          <w:rFonts w:asciiTheme="majorHAnsi" w:eastAsiaTheme="minorEastAsia" w:hAnsiTheme="majorHAnsi" w:cs="Arial"/>
          <w:sz w:val="20"/>
          <w:szCs w:val="20"/>
          <w:lang w:val="en-GB"/>
        </w:rPr>
        <w:t>s</w:t>
      </w:r>
      <w:r w:rsidR="004C61F3">
        <w:rPr>
          <w:rFonts w:asciiTheme="majorHAnsi" w:eastAsiaTheme="minorEastAsia" w:hAnsiTheme="majorHAnsi" w:cs="Arial"/>
          <w:sz w:val="20"/>
          <w:szCs w:val="20"/>
          <w:lang w:val="en-GB"/>
        </w:rPr>
        <w:t xml:space="preserve"> value. T</w:t>
      </w:r>
      <w:r w:rsidR="00180DFE" w:rsidRPr="00180DFE">
        <w:rPr>
          <w:rFonts w:asciiTheme="majorHAnsi" w:eastAsiaTheme="minorEastAsia" w:hAnsiTheme="majorHAnsi" w:cs="Arial"/>
          <w:sz w:val="20"/>
          <w:szCs w:val="20"/>
          <w:lang w:val="en-GB"/>
        </w:rPr>
        <w:t>his demonstration support</w:t>
      </w:r>
      <w:r w:rsidR="00F177E4">
        <w:rPr>
          <w:rFonts w:asciiTheme="majorHAnsi" w:eastAsiaTheme="minorEastAsia" w:hAnsiTheme="majorHAnsi" w:cs="Arial"/>
          <w:sz w:val="20"/>
          <w:szCs w:val="20"/>
          <w:lang w:val="en-GB"/>
        </w:rPr>
        <w:t>ed rea</w:t>
      </w:r>
      <w:r w:rsidR="00180DFE" w:rsidRPr="00180DFE">
        <w:rPr>
          <w:rFonts w:asciiTheme="majorHAnsi" w:eastAsiaTheme="minorEastAsia" w:hAnsiTheme="majorHAnsi" w:cs="Arial"/>
          <w:sz w:val="20"/>
          <w:szCs w:val="20"/>
          <w:lang w:val="en-GB"/>
        </w:rPr>
        <w:t xml:space="preserve">l collaboration across multidisciplinary teams representing Neurophysiology, </w:t>
      </w:r>
      <w:r w:rsidR="00F177E4">
        <w:rPr>
          <w:rFonts w:asciiTheme="majorHAnsi" w:eastAsiaTheme="minorEastAsia" w:hAnsiTheme="majorHAnsi" w:cs="Arial"/>
          <w:sz w:val="20"/>
          <w:szCs w:val="20"/>
          <w:lang w:val="en-GB"/>
        </w:rPr>
        <w:t>E</w:t>
      </w:r>
      <w:r w:rsidR="00180DFE" w:rsidRPr="00180DFE">
        <w:rPr>
          <w:rFonts w:asciiTheme="majorHAnsi" w:eastAsiaTheme="minorEastAsia" w:hAnsiTheme="majorHAnsi" w:cs="Arial"/>
          <w:sz w:val="20"/>
          <w:szCs w:val="20"/>
          <w:lang w:val="en-GB"/>
        </w:rPr>
        <w:t>ngineering</w:t>
      </w:r>
      <w:r w:rsidR="00045A0A">
        <w:rPr>
          <w:rFonts w:asciiTheme="majorHAnsi" w:eastAsiaTheme="minorEastAsia" w:hAnsiTheme="majorHAnsi" w:cs="Arial"/>
          <w:sz w:val="20"/>
          <w:szCs w:val="20"/>
          <w:lang w:val="en-GB"/>
        </w:rPr>
        <w:t xml:space="preserve">, </w:t>
      </w:r>
      <w:r w:rsidR="00F177E4">
        <w:rPr>
          <w:rFonts w:asciiTheme="majorHAnsi" w:eastAsiaTheme="minorEastAsia" w:hAnsiTheme="majorHAnsi" w:cs="Arial"/>
          <w:sz w:val="20"/>
          <w:szCs w:val="20"/>
          <w:lang w:val="en-GB"/>
        </w:rPr>
        <w:t>Rehabilitation M</w:t>
      </w:r>
      <w:r w:rsidR="00180DFE" w:rsidRPr="00180DFE">
        <w:rPr>
          <w:rFonts w:asciiTheme="majorHAnsi" w:eastAsiaTheme="minorEastAsia" w:hAnsiTheme="majorHAnsi" w:cs="Arial"/>
          <w:sz w:val="20"/>
          <w:szCs w:val="20"/>
          <w:lang w:val="en-GB"/>
        </w:rPr>
        <w:t>edicine</w:t>
      </w:r>
      <w:r w:rsidR="004C61F3">
        <w:rPr>
          <w:rFonts w:asciiTheme="majorHAnsi" w:eastAsiaTheme="minorEastAsia" w:hAnsiTheme="majorHAnsi" w:cs="Arial"/>
          <w:sz w:val="20"/>
          <w:szCs w:val="20"/>
          <w:lang w:val="en-GB"/>
        </w:rPr>
        <w:t xml:space="preserve"> and </w:t>
      </w:r>
      <w:r w:rsidR="00045A0A">
        <w:rPr>
          <w:rFonts w:asciiTheme="majorHAnsi" w:eastAsiaTheme="minorEastAsia" w:hAnsiTheme="majorHAnsi" w:cs="Arial"/>
          <w:sz w:val="20"/>
          <w:szCs w:val="20"/>
          <w:lang w:val="en-GB"/>
        </w:rPr>
        <w:t>O</w:t>
      </w:r>
      <w:r w:rsidR="004C61F3">
        <w:rPr>
          <w:rFonts w:asciiTheme="majorHAnsi" w:eastAsiaTheme="minorEastAsia" w:hAnsiTheme="majorHAnsi" w:cs="Arial"/>
          <w:sz w:val="20"/>
          <w:szCs w:val="20"/>
          <w:lang w:val="en-GB"/>
        </w:rPr>
        <w:t>rthopaedics. It covered</w:t>
      </w:r>
      <w:r w:rsidR="00180DFE" w:rsidRPr="00180DFE">
        <w:rPr>
          <w:rFonts w:asciiTheme="majorHAnsi" w:eastAsiaTheme="minorEastAsia" w:hAnsiTheme="majorHAnsi" w:cs="Arial"/>
          <w:sz w:val="20"/>
          <w:szCs w:val="20"/>
          <w:lang w:val="en-GB"/>
        </w:rPr>
        <w:t xml:space="preserve"> </w:t>
      </w:r>
      <w:r w:rsidR="00045A0A" w:rsidRPr="00180DFE">
        <w:rPr>
          <w:rFonts w:asciiTheme="majorHAnsi" w:eastAsiaTheme="minorEastAsia" w:hAnsiTheme="majorHAnsi" w:cs="Arial"/>
          <w:sz w:val="20"/>
          <w:szCs w:val="20"/>
          <w:lang w:val="en-GB"/>
        </w:rPr>
        <w:t>initial</w:t>
      </w:r>
      <w:r w:rsidR="00180DFE" w:rsidRPr="00180DFE">
        <w:rPr>
          <w:rFonts w:asciiTheme="majorHAnsi" w:eastAsiaTheme="minorEastAsia" w:hAnsiTheme="majorHAnsi" w:cs="Arial"/>
          <w:sz w:val="20"/>
          <w:szCs w:val="20"/>
          <w:lang w:val="en-GB"/>
        </w:rPr>
        <w:t xml:space="preserve"> University research and development </w:t>
      </w:r>
      <w:r w:rsidR="00F177E4">
        <w:rPr>
          <w:rFonts w:asciiTheme="majorHAnsi" w:eastAsiaTheme="minorEastAsia" w:hAnsiTheme="majorHAnsi" w:cs="Arial"/>
          <w:sz w:val="20"/>
          <w:szCs w:val="20"/>
          <w:lang w:val="en-GB"/>
        </w:rPr>
        <w:t xml:space="preserve">(TRL1-3) </w:t>
      </w:r>
      <w:r w:rsidR="00180DFE" w:rsidRPr="00180DFE">
        <w:rPr>
          <w:rFonts w:asciiTheme="majorHAnsi" w:eastAsiaTheme="minorEastAsia" w:hAnsiTheme="majorHAnsi" w:cs="Arial"/>
          <w:sz w:val="20"/>
          <w:szCs w:val="20"/>
          <w:lang w:val="en-GB"/>
        </w:rPr>
        <w:t xml:space="preserve">plus engineering and evaluation in a healthy population, </w:t>
      </w:r>
      <w:r w:rsidR="00F177E4">
        <w:rPr>
          <w:rFonts w:asciiTheme="majorHAnsi" w:eastAsiaTheme="minorEastAsia" w:hAnsiTheme="majorHAnsi" w:cs="Arial"/>
          <w:sz w:val="20"/>
          <w:szCs w:val="20"/>
          <w:lang w:val="en-GB"/>
        </w:rPr>
        <w:t xml:space="preserve">(TRL4-6) </w:t>
      </w:r>
      <w:r w:rsidR="00045A0A">
        <w:rPr>
          <w:rFonts w:asciiTheme="majorHAnsi" w:eastAsiaTheme="minorEastAsia" w:hAnsiTheme="majorHAnsi" w:cs="Arial"/>
          <w:sz w:val="20"/>
          <w:szCs w:val="20"/>
          <w:lang w:val="en-GB"/>
        </w:rPr>
        <w:t xml:space="preserve">development stages. </w:t>
      </w:r>
      <w:r>
        <w:rPr>
          <w:rFonts w:asciiTheme="majorHAnsi" w:eastAsiaTheme="minorEastAsia" w:hAnsiTheme="majorHAnsi" w:cs="Arial"/>
          <w:sz w:val="20"/>
          <w:szCs w:val="20"/>
          <w:lang w:val="en-GB"/>
        </w:rPr>
        <w:t>R</w:t>
      </w:r>
      <w:r w:rsidR="00180DFE" w:rsidRPr="00972D81">
        <w:rPr>
          <w:rFonts w:asciiTheme="majorHAnsi" w:eastAsiaTheme="minorEastAsia" w:hAnsiTheme="majorHAnsi" w:cs="Arial"/>
          <w:sz w:val="20"/>
          <w:szCs w:val="20"/>
          <w:lang w:val="en-GB"/>
        </w:rPr>
        <w:t>apid transition through to a nat</w:t>
      </w:r>
      <w:r w:rsidR="00F177E4" w:rsidRPr="00972D81">
        <w:rPr>
          <w:rFonts w:asciiTheme="majorHAnsi" w:eastAsiaTheme="minorEastAsia" w:hAnsiTheme="majorHAnsi" w:cs="Arial"/>
          <w:sz w:val="20"/>
          <w:szCs w:val="20"/>
          <w:lang w:val="en-GB"/>
        </w:rPr>
        <w:t xml:space="preserve">ionally supported </w:t>
      </w:r>
      <w:r w:rsidR="00972D81" w:rsidRPr="00972D81">
        <w:rPr>
          <w:rFonts w:asciiTheme="majorHAnsi" w:eastAsiaTheme="minorEastAsia" w:hAnsiTheme="majorHAnsi" w:cs="Arial"/>
          <w:sz w:val="20"/>
          <w:szCs w:val="20"/>
          <w:lang w:val="en-GB"/>
        </w:rPr>
        <w:t xml:space="preserve">(UK NIHR </w:t>
      </w:r>
      <w:r w:rsidR="00972D81">
        <w:rPr>
          <w:rFonts w:asciiTheme="majorHAnsi" w:eastAsiaTheme="minorEastAsia" w:hAnsiTheme="majorHAnsi" w:cs="Arial"/>
          <w:sz w:val="20"/>
          <w:szCs w:val="20"/>
          <w:lang w:val="en-GB"/>
        </w:rPr>
        <w:t>i</w:t>
      </w:r>
      <w:r w:rsidR="00972D81" w:rsidRPr="00972D81">
        <w:rPr>
          <w:rFonts w:asciiTheme="majorHAnsi" w:eastAsiaTheme="minorEastAsia" w:hAnsiTheme="majorHAnsi" w:cs="Arial"/>
          <w:sz w:val="20"/>
          <w:szCs w:val="20"/>
          <w:lang w:val="en-GB"/>
        </w:rPr>
        <w:t>4</w:t>
      </w:r>
      <w:r w:rsidR="00972D81">
        <w:rPr>
          <w:rFonts w:asciiTheme="majorHAnsi" w:eastAsiaTheme="minorEastAsia" w:hAnsiTheme="majorHAnsi" w:cs="Arial"/>
          <w:sz w:val="20"/>
          <w:szCs w:val="20"/>
          <w:lang w:val="en-GB"/>
        </w:rPr>
        <w:t>i</w:t>
      </w:r>
      <w:r w:rsidR="00972D81" w:rsidRPr="00972D81">
        <w:rPr>
          <w:rFonts w:asciiTheme="majorHAnsi" w:eastAsiaTheme="minorEastAsia" w:hAnsiTheme="majorHAnsi" w:cs="Arial"/>
          <w:sz w:val="20"/>
          <w:szCs w:val="20"/>
          <w:lang w:val="en-GB"/>
        </w:rPr>
        <w:t xml:space="preserve"> FDP1) </w:t>
      </w:r>
      <w:r w:rsidR="00F177E4" w:rsidRPr="00972D81">
        <w:rPr>
          <w:rFonts w:asciiTheme="majorHAnsi" w:eastAsiaTheme="minorEastAsia" w:hAnsiTheme="majorHAnsi" w:cs="Arial"/>
          <w:sz w:val="20"/>
          <w:szCs w:val="20"/>
          <w:lang w:val="en-GB"/>
        </w:rPr>
        <w:t>clinical trial of spinal</w:t>
      </w:r>
      <w:r w:rsidR="00180DFE" w:rsidRPr="00972D81">
        <w:rPr>
          <w:rFonts w:asciiTheme="majorHAnsi" w:eastAsiaTheme="minorEastAsia" w:hAnsiTheme="majorHAnsi" w:cs="Arial"/>
          <w:sz w:val="20"/>
          <w:szCs w:val="20"/>
          <w:lang w:val="en-GB"/>
        </w:rPr>
        <w:t xml:space="preserve"> cord injured patients</w:t>
      </w:r>
      <w:r w:rsidR="004C61F3">
        <w:rPr>
          <w:rFonts w:asciiTheme="majorHAnsi" w:eastAsiaTheme="minorEastAsia" w:hAnsiTheme="majorHAnsi" w:cs="Arial"/>
          <w:sz w:val="20"/>
          <w:szCs w:val="20"/>
          <w:lang w:val="en-GB"/>
        </w:rPr>
        <w:t xml:space="preserve"> (TRL7)</w:t>
      </w:r>
      <w:r>
        <w:rPr>
          <w:rFonts w:asciiTheme="majorHAnsi" w:eastAsiaTheme="minorEastAsia" w:hAnsiTheme="majorHAnsi" w:cs="Arial"/>
          <w:sz w:val="20"/>
          <w:szCs w:val="20"/>
          <w:lang w:val="en-GB"/>
        </w:rPr>
        <w:t>,</w:t>
      </w:r>
      <w:r w:rsidR="00180DFE" w:rsidRPr="00972D81">
        <w:rPr>
          <w:rFonts w:asciiTheme="majorHAnsi" w:eastAsiaTheme="minorEastAsia" w:hAnsiTheme="majorHAnsi" w:cs="Arial"/>
          <w:sz w:val="20"/>
          <w:szCs w:val="20"/>
          <w:lang w:val="en-GB"/>
        </w:rPr>
        <w:t xml:space="preserve"> demonstrates </w:t>
      </w:r>
      <w:r w:rsidR="00045A0A">
        <w:rPr>
          <w:rFonts w:asciiTheme="majorHAnsi" w:eastAsiaTheme="minorEastAsia" w:hAnsiTheme="majorHAnsi" w:cs="Arial"/>
          <w:sz w:val="20"/>
          <w:szCs w:val="20"/>
          <w:lang w:val="en-GB"/>
        </w:rPr>
        <w:t>the</w:t>
      </w:r>
      <w:r w:rsidR="00180DFE" w:rsidRPr="00180DFE">
        <w:rPr>
          <w:rFonts w:asciiTheme="majorHAnsi" w:eastAsiaTheme="minorEastAsia" w:hAnsiTheme="majorHAnsi" w:cs="Arial"/>
          <w:sz w:val="20"/>
          <w:szCs w:val="20"/>
          <w:lang w:val="en-GB"/>
        </w:rPr>
        <w:t xml:space="preserve"> potential for </w:t>
      </w:r>
      <w:r w:rsidR="00045A0A">
        <w:rPr>
          <w:rFonts w:asciiTheme="majorHAnsi" w:eastAsiaTheme="minorEastAsia" w:hAnsiTheme="majorHAnsi" w:cs="Arial"/>
          <w:sz w:val="20"/>
          <w:szCs w:val="20"/>
          <w:lang w:val="en-GB"/>
        </w:rPr>
        <w:t>this approach to develop</w:t>
      </w:r>
      <w:r w:rsidR="00180DFE" w:rsidRPr="00180DFE">
        <w:rPr>
          <w:rFonts w:asciiTheme="majorHAnsi" w:eastAsiaTheme="minorEastAsia" w:hAnsiTheme="majorHAnsi" w:cs="Arial"/>
          <w:sz w:val="20"/>
          <w:szCs w:val="20"/>
          <w:lang w:val="en-GB"/>
        </w:rPr>
        <w:t xml:space="preserve"> a truly competitive edge in a global research and development environment.</w:t>
      </w:r>
    </w:p>
    <w:p w:rsidR="00E40F9E" w:rsidRDefault="00180DFE" w:rsidP="00972D81">
      <w:pPr>
        <w:ind w:firstLine="397"/>
        <w:jc w:val="both"/>
        <w:rPr>
          <w:rFonts w:asciiTheme="majorHAnsi" w:eastAsiaTheme="minorEastAsia" w:hAnsiTheme="majorHAnsi" w:cs="Arial"/>
          <w:sz w:val="20"/>
          <w:szCs w:val="20"/>
          <w:lang w:val="en-GB"/>
        </w:rPr>
      </w:pPr>
      <w:r w:rsidRPr="00180DFE">
        <w:rPr>
          <w:rFonts w:asciiTheme="majorHAnsi" w:eastAsiaTheme="minorEastAsia" w:hAnsiTheme="majorHAnsi" w:cs="Arial"/>
          <w:sz w:val="20"/>
          <w:szCs w:val="20"/>
          <w:lang w:val="en-GB"/>
        </w:rPr>
        <w:t>As Dar</w:t>
      </w:r>
      <w:r>
        <w:rPr>
          <w:rFonts w:asciiTheme="majorHAnsi" w:eastAsiaTheme="minorEastAsia" w:hAnsiTheme="majorHAnsi" w:cs="Arial"/>
          <w:sz w:val="20"/>
          <w:szCs w:val="20"/>
          <w:lang w:val="en-GB"/>
        </w:rPr>
        <w:t>win</w:t>
      </w:r>
      <w:r w:rsidRPr="00180DFE">
        <w:rPr>
          <w:rFonts w:asciiTheme="majorHAnsi" w:eastAsiaTheme="minorEastAsia" w:hAnsiTheme="majorHAnsi" w:cs="Arial"/>
          <w:sz w:val="20"/>
          <w:szCs w:val="20"/>
          <w:lang w:val="en-GB"/>
        </w:rPr>
        <w:t xml:space="preserve"> </w:t>
      </w:r>
      <w:r w:rsidR="00E40F9E">
        <w:rPr>
          <w:rFonts w:asciiTheme="majorHAnsi" w:eastAsiaTheme="minorEastAsia" w:hAnsiTheme="majorHAnsi" w:cs="Arial"/>
          <w:sz w:val="20"/>
          <w:szCs w:val="20"/>
          <w:lang w:val="en-GB"/>
        </w:rPr>
        <w:t>stated</w:t>
      </w:r>
      <w:r w:rsidR="003916F0">
        <w:rPr>
          <w:rFonts w:asciiTheme="majorHAnsi" w:eastAsiaTheme="minorEastAsia" w:hAnsiTheme="majorHAnsi" w:cs="Arial"/>
          <w:sz w:val="20"/>
          <w:szCs w:val="20"/>
          <w:lang w:val="en-GB"/>
        </w:rPr>
        <w:fldChar w:fldCharType="begin"/>
      </w:r>
      <w:r w:rsidR="00DC3C07">
        <w:rPr>
          <w:rFonts w:asciiTheme="majorHAnsi" w:eastAsiaTheme="minorEastAsia" w:hAnsiTheme="majorHAnsi" w:cs="Arial"/>
          <w:sz w:val="20"/>
          <w:szCs w:val="20"/>
          <w:lang w:val="en-GB"/>
        </w:rPr>
        <w:instrText xml:space="preserve"> ADDIN REFMGR.CITE &lt;Refman&gt;&lt;Cite&gt;&lt;Year&gt;2012&lt;/Year&gt;&lt;RecNum&gt;44&lt;/RecNum&gt;&lt;IDText&gt;Darwin Quote&lt;/IDText&gt;&lt;MDL Ref_Type="Report"&gt;&lt;Ref_Type&gt;Report&lt;/Ref_Type&gt;&lt;Ref_ID&gt;44&lt;/Ref_ID&gt;&lt;Title_Primary&gt;Darwin Quote&lt;/Title_Primary&gt;&lt;Date_Primary&gt;2012&lt;/Date_Primary&gt;&lt;Reprint&gt;In File&lt;/Reprint&gt;&lt;Web_URL&gt;&lt;u&gt;http://www.darwin-literature.com/l_quotes.html&lt;/u&gt;&lt;/Web_URL&gt;&lt;ZZ_WorkformID&gt;24&lt;/ZZ_WorkformID&gt;&lt;/MDL&gt;&lt;/Cite&gt;&lt;/Refman&gt;</w:instrText>
      </w:r>
      <w:r w:rsidR="003916F0">
        <w:rPr>
          <w:rFonts w:asciiTheme="majorHAnsi" w:eastAsiaTheme="minorEastAsia" w:hAnsiTheme="majorHAnsi" w:cs="Arial"/>
          <w:sz w:val="20"/>
          <w:szCs w:val="20"/>
          <w:lang w:val="en-GB"/>
        </w:rPr>
        <w:fldChar w:fldCharType="separate"/>
      </w:r>
      <w:r w:rsidR="00DC3C07">
        <w:rPr>
          <w:rFonts w:asciiTheme="majorHAnsi" w:eastAsiaTheme="minorEastAsia" w:hAnsiTheme="majorHAnsi" w:cs="Arial"/>
          <w:noProof/>
          <w:sz w:val="20"/>
          <w:szCs w:val="20"/>
          <w:lang w:val="en-GB"/>
        </w:rPr>
        <w:t>(11)</w:t>
      </w:r>
      <w:r w:rsidR="003916F0">
        <w:rPr>
          <w:rFonts w:asciiTheme="majorHAnsi" w:eastAsiaTheme="minorEastAsia" w:hAnsiTheme="majorHAnsi" w:cs="Arial"/>
          <w:sz w:val="20"/>
          <w:szCs w:val="20"/>
          <w:lang w:val="en-GB"/>
        </w:rPr>
        <w:fldChar w:fldCharType="end"/>
      </w:r>
      <w:r w:rsidRPr="00180DFE">
        <w:rPr>
          <w:rFonts w:asciiTheme="majorHAnsi" w:eastAsiaTheme="minorEastAsia" w:hAnsiTheme="majorHAnsi" w:cs="Arial"/>
          <w:sz w:val="20"/>
          <w:szCs w:val="20"/>
          <w:lang w:val="en-GB"/>
        </w:rPr>
        <w:t xml:space="preserve">; </w:t>
      </w:r>
      <w:r w:rsidR="00E40F9E" w:rsidRPr="00E40F9E">
        <w:rPr>
          <w:rStyle w:val="QuoteChar"/>
          <w:sz w:val="22"/>
          <w:lang w:eastAsia="en-GB"/>
        </w:rPr>
        <w:t>"In the struggle for survival, the fittest win out at the expense of their rivals because they succeed in adapting themselves best to their environment."</w:t>
      </w:r>
      <w:r w:rsidR="00E40F9E">
        <w:rPr>
          <w:rStyle w:val="QuoteChar"/>
          <w:sz w:val="22"/>
          <w:lang w:eastAsia="en-GB"/>
        </w:rPr>
        <w:t xml:space="preserve"> </w:t>
      </w:r>
      <w:r w:rsidR="00E40F9E">
        <w:rPr>
          <w:rFonts w:asciiTheme="majorHAnsi" w:eastAsiaTheme="minorEastAsia" w:hAnsiTheme="majorHAnsi" w:cs="Arial"/>
          <w:sz w:val="20"/>
          <w:szCs w:val="20"/>
          <w:lang w:val="en-GB"/>
        </w:rPr>
        <w:t xml:space="preserve">The reality is that major </w:t>
      </w:r>
      <w:r w:rsidR="00E049B6">
        <w:rPr>
          <w:rFonts w:asciiTheme="majorHAnsi" w:eastAsiaTheme="minorEastAsia" w:hAnsiTheme="majorHAnsi" w:cs="Arial"/>
          <w:sz w:val="20"/>
          <w:szCs w:val="20"/>
          <w:lang w:val="en-GB"/>
        </w:rPr>
        <w:t>scientific</w:t>
      </w:r>
      <w:r w:rsidR="00E40F9E">
        <w:rPr>
          <w:rFonts w:asciiTheme="majorHAnsi" w:eastAsiaTheme="minorEastAsia" w:hAnsiTheme="majorHAnsi" w:cs="Arial"/>
          <w:sz w:val="20"/>
          <w:szCs w:val="20"/>
          <w:lang w:val="en-GB"/>
        </w:rPr>
        <w:t xml:space="preserve"> endeavour is now a global </w:t>
      </w:r>
      <w:r w:rsidR="00045A0A">
        <w:rPr>
          <w:rFonts w:asciiTheme="majorHAnsi" w:eastAsiaTheme="minorEastAsia" w:hAnsiTheme="majorHAnsi" w:cs="Arial"/>
          <w:sz w:val="20"/>
          <w:szCs w:val="20"/>
          <w:lang w:val="en-GB"/>
        </w:rPr>
        <w:t>exercise. I</w:t>
      </w:r>
      <w:r w:rsidR="00E40F9E">
        <w:rPr>
          <w:rFonts w:asciiTheme="majorHAnsi" w:eastAsiaTheme="minorEastAsia" w:hAnsiTheme="majorHAnsi" w:cs="Arial"/>
          <w:sz w:val="20"/>
          <w:szCs w:val="20"/>
          <w:lang w:val="en-GB"/>
        </w:rPr>
        <w:t xml:space="preserve">t is the ability to rapidly configure groups to focus on challenges and complete stages effectively that will ensure </w:t>
      </w:r>
      <w:r w:rsidR="00045A0A">
        <w:rPr>
          <w:rFonts w:asciiTheme="majorHAnsi" w:eastAsiaTheme="minorEastAsia" w:hAnsiTheme="majorHAnsi" w:cs="Arial"/>
          <w:sz w:val="20"/>
          <w:szCs w:val="20"/>
          <w:lang w:val="en-GB"/>
        </w:rPr>
        <w:t xml:space="preserve">their </w:t>
      </w:r>
      <w:r w:rsidR="00E40F9E">
        <w:rPr>
          <w:rFonts w:asciiTheme="majorHAnsi" w:eastAsiaTheme="minorEastAsia" w:hAnsiTheme="majorHAnsi" w:cs="Arial"/>
          <w:sz w:val="20"/>
          <w:szCs w:val="20"/>
          <w:lang w:val="en-GB"/>
        </w:rPr>
        <w:t xml:space="preserve">long term survival. </w:t>
      </w:r>
      <w:r w:rsidR="004C61F3">
        <w:rPr>
          <w:rFonts w:asciiTheme="majorHAnsi" w:eastAsiaTheme="minorEastAsia" w:hAnsiTheme="majorHAnsi" w:cs="Arial"/>
          <w:sz w:val="20"/>
          <w:szCs w:val="20"/>
          <w:lang w:val="en-GB"/>
        </w:rPr>
        <w:t>VREs are likely to play a central role in this in the future.</w:t>
      </w:r>
    </w:p>
    <w:p w:rsidR="00B37A21" w:rsidRPr="00B96A0B" w:rsidRDefault="00E40F9E" w:rsidP="00B96A0B">
      <w:pPr>
        <w:ind w:firstLine="397"/>
        <w:jc w:val="both"/>
        <w:rPr>
          <w:rFonts w:asciiTheme="majorHAnsi" w:eastAsiaTheme="minorEastAsia" w:hAnsiTheme="majorHAnsi" w:cs="Arial"/>
          <w:sz w:val="20"/>
          <w:szCs w:val="20"/>
          <w:lang w:val="en-GB"/>
        </w:rPr>
      </w:pPr>
      <w:r>
        <w:rPr>
          <w:rFonts w:asciiTheme="majorHAnsi" w:eastAsiaTheme="minorEastAsia" w:hAnsiTheme="majorHAnsi" w:cs="Arial"/>
          <w:sz w:val="20"/>
          <w:szCs w:val="20"/>
          <w:lang w:val="en-GB"/>
        </w:rPr>
        <w:t xml:space="preserve">This means that the teams need to respect the logical transition </w:t>
      </w:r>
      <w:r w:rsidR="004C61F3">
        <w:rPr>
          <w:rFonts w:asciiTheme="majorHAnsi" w:eastAsiaTheme="minorEastAsia" w:hAnsiTheme="majorHAnsi" w:cs="Arial"/>
          <w:sz w:val="20"/>
          <w:szCs w:val="20"/>
          <w:lang w:val="en-GB"/>
        </w:rPr>
        <w:t>and</w:t>
      </w:r>
      <w:r>
        <w:rPr>
          <w:rFonts w:asciiTheme="majorHAnsi" w:eastAsiaTheme="minorEastAsia" w:hAnsiTheme="majorHAnsi" w:cs="Arial"/>
          <w:sz w:val="20"/>
          <w:szCs w:val="20"/>
          <w:lang w:val="en-GB"/>
        </w:rPr>
        <w:t xml:space="preserve"> the </w:t>
      </w:r>
      <w:r w:rsidR="002210AE">
        <w:rPr>
          <w:rFonts w:asciiTheme="majorHAnsi" w:eastAsiaTheme="minorEastAsia" w:hAnsiTheme="majorHAnsi" w:cs="Arial"/>
          <w:sz w:val="20"/>
          <w:szCs w:val="20"/>
          <w:lang w:val="en-GB"/>
        </w:rPr>
        <w:t xml:space="preserve">consistent </w:t>
      </w:r>
      <w:r>
        <w:rPr>
          <w:rFonts w:asciiTheme="majorHAnsi" w:eastAsiaTheme="minorEastAsia" w:hAnsiTheme="majorHAnsi" w:cs="Arial"/>
          <w:sz w:val="20"/>
          <w:szCs w:val="20"/>
          <w:lang w:val="en-GB"/>
        </w:rPr>
        <w:t>extrapolation of an argument from one step to the next</w:t>
      </w:r>
      <w:r w:rsidR="00045A0A">
        <w:rPr>
          <w:rFonts w:asciiTheme="majorHAnsi" w:eastAsiaTheme="minorEastAsia" w:hAnsiTheme="majorHAnsi" w:cs="Arial"/>
          <w:sz w:val="20"/>
          <w:szCs w:val="20"/>
          <w:lang w:val="en-GB"/>
        </w:rPr>
        <w:t>. I</w:t>
      </w:r>
      <w:r>
        <w:rPr>
          <w:rFonts w:asciiTheme="majorHAnsi" w:eastAsiaTheme="minorEastAsia" w:hAnsiTheme="majorHAnsi" w:cs="Arial"/>
          <w:sz w:val="20"/>
          <w:szCs w:val="20"/>
          <w:lang w:val="en-GB"/>
        </w:rPr>
        <w:t xml:space="preserve">t is the provenance </w:t>
      </w:r>
      <w:r w:rsidR="00045A0A">
        <w:rPr>
          <w:rFonts w:asciiTheme="majorHAnsi" w:eastAsiaTheme="minorEastAsia" w:hAnsiTheme="majorHAnsi" w:cs="Arial"/>
          <w:sz w:val="20"/>
          <w:szCs w:val="20"/>
          <w:lang w:val="en-GB"/>
        </w:rPr>
        <w:t xml:space="preserve">of data </w:t>
      </w:r>
      <w:r>
        <w:rPr>
          <w:rFonts w:asciiTheme="majorHAnsi" w:eastAsiaTheme="minorEastAsia" w:hAnsiTheme="majorHAnsi" w:cs="Arial"/>
          <w:sz w:val="20"/>
          <w:szCs w:val="20"/>
          <w:lang w:val="en-GB"/>
        </w:rPr>
        <w:t xml:space="preserve">which ultimately secures the foundation of </w:t>
      </w:r>
      <w:r w:rsidR="00E049B6">
        <w:rPr>
          <w:rFonts w:asciiTheme="majorHAnsi" w:eastAsiaTheme="minorEastAsia" w:hAnsiTheme="majorHAnsi" w:cs="Arial"/>
          <w:sz w:val="20"/>
          <w:szCs w:val="20"/>
          <w:lang w:val="en-GB"/>
        </w:rPr>
        <w:t>clinical</w:t>
      </w:r>
      <w:r>
        <w:rPr>
          <w:rFonts w:asciiTheme="majorHAnsi" w:eastAsiaTheme="minorEastAsia" w:hAnsiTheme="majorHAnsi" w:cs="Arial"/>
          <w:sz w:val="20"/>
          <w:szCs w:val="20"/>
          <w:lang w:val="en-GB"/>
        </w:rPr>
        <w:t xml:space="preserve"> intervention in a sound basic science evidence base. W</w:t>
      </w:r>
      <w:r w:rsidR="00180DFE" w:rsidRPr="00180DFE">
        <w:rPr>
          <w:rFonts w:asciiTheme="majorHAnsi" w:eastAsiaTheme="minorEastAsia" w:hAnsiTheme="majorHAnsi" w:cs="Arial"/>
          <w:sz w:val="20"/>
          <w:szCs w:val="20"/>
          <w:lang w:val="en-GB"/>
        </w:rPr>
        <w:t>e must all adapt our technologies to ensure rapid</w:t>
      </w:r>
      <w:r w:rsidR="00F177E4">
        <w:rPr>
          <w:rFonts w:asciiTheme="majorHAnsi" w:eastAsiaTheme="minorEastAsia" w:hAnsiTheme="majorHAnsi" w:cs="Arial"/>
          <w:sz w:val="20"/>
          <w:szCs w:val="20"/>
          <w:lang w:val="en-GB"/>
        </w:rPr>
        <w:t>,</w:t>
      </w:r>
      <w:r w:rsidR="00180DFE" w:rsidRPr="00180DFE">
        <w:rPr>
          <w:rFonts w:asciiTheme="majorHAnsi" w:eastAsiaTheme="minorEastAsia" w:hAnsiTheme="majorHAnsi" w:cs="Arial"/>
          <w:sz w:val="20"/>
          <w:szCs w:val="20"/>
          <w:lang w:val="en-GB"/>
        </w:rPr>
        <w:t xml:space="preserve"> reliable and robust transfer through the progressive levels </w:t>
      </w:r>
      <w:r w:rsidR="00F177E4">
        <w:rPr>
          <w:rFonts w:asciiTheme="majorHAnsi" w:eastAsiaTheme="minorEastAsia" w:hAnsiTheme="majorHAnsi" w:cs="Arial"/>
          <w:sz w:val="20"/>
          <w:szCs w:val="20"/>
          <w:lang w:val="en-GB"/>
        </w:rPr>
        <w:t>of</w:t>
      </w:r>
      <w:r w:rsidR="00180DFE" w:rsidRPr="00180DFE">
        <w:rPr>
          <w:rFonts w:asciiTheme="majorHAnsi" w:eastAsiaTheme="minorEastAsia" w:hAnsiTheme="majorHAnsi" w:cs="Arial"/>
          <w:sz w:val="20"/>
          <w:szCs w:val="20"/>
          <w:lang w:val="en-GB"/>
        </w:rPr>
        <w:t xml:space="preserve"> readiness to the point that they can be implemented safely and securely for the benefit of all.</w:t>
      </w:r>
    </w:p>
    <w:p w:rsidR="00B37A21" w:rsidRDefault="00B37A21" w:rsidP="00ED3C60">
      <w:pPr>
        <w:ind w:firstLine="397"/>
        <w:rPr>
          <w:rFonts w:asciiTheme="majorHAnsi" w:hAnsiTheme="majorHAnsi" w:cs="AdvTimes"/>
          <w:sz w:val="20"/>
          <w:szCs w:val="20"/>
          <w:lang w:eastAsia="en-US"/>
        </w:rPr>
      </w:pPr>
    </w:p>
    <w:p w:rsidR="00DC3C07" w:rsidRPr="00972D81" w:rsidRDefault="003916F0" w:rsidP="00437C23">
      <w:pPr>
        <w:rPr>
          <w:rFonts w:asciiTheme="majorHAnsi" w:hAnsiTheme="majorHAnsi"/>
          <w:b/>
          <w:noProof/>
          <w:sz w:val="20"/>
          <w:szCs w:val="20"/>
          <w:lang w:eastAsia="en-US"/>
        </w:rPr>
      </w:pPr>
      <w:r w:rsidRPr="00972D81">
        <w:rPr>
          <w:rFonts w:asciiTheme="majorHAnsi" w:hAnsiTheme="majorHAnsi" w:cs="AdvTimes"/>
          <w:sz w:val="20"/>
          <w:szCs w:val="20"/>
          <w:lang w:eastAsia="en-US"/>
        </w:rPr>
        <w:fldChar w:fldCharType="begin"/>
      </w:r>
      <w:r w:rsidR="008155F5" w:rsidRPr="00972D81">
        <w:rPr>
          <w:rFonts w:asciiTheme="majorHAnsi" w:hAnsiTheme="majorHAnsi" w:cs="AdvTimes"/>
          <w:sz w:val="20"/>
          <w:szCs w:val="20"/>
          <w:lang w:eastAsia="en-US"/>
        </w:rPr>
        <w:instrText xml:space="preserve"> ADDIN REFMGR.REFLIST </w:instrText>
      </w:r>
      <w:r w:rsidRPr="00972D81">
        <w:rPr>
          <w:rFonts w:asciiTheme="majorHAnsi" w:hAnsiTheme="majorHAnsi" w:cs="AdvTimes"/>
          <w:sz w:val="20"/>
          <w:szCs w:val="20"/>
          <w:lang w:eastAsia="en-US"/>
        </w:rPr>
        <w:fldChar w:fldCharType="separate"/>
      </w:r>
      <w:r w:rsidR="00DC3C07" w:rsidRPr="00972D81">
        <w:rPr>
          <w:rFonts w:asciiTheme="majorHAnsi" w:hAnsiTheme="majorHAnsi"/>
          <w:b/>
          <w:noProof/>
          <w:sz w:val="20"/>
          <w:szCs w:val="20"/>
          <w:lang w:eastAsia="en-US"/>
        </w:rPr>
        <w:t xml:space="preserve">References </w:t>
      </w:r>
    </w:p>
    <w:p w:rsidR="00DC3C07" w:rsidRPr="00972D81" w:rsidRDefault="00DC3C07" w:rsidP="00ED3C60">
      <w:pPr>
        <w:tabs>
          <w:tab w:val="right" w:pos="540"/>
          <w:tab w:val="left" w:pos="720"/>
        </w:tabs>
        <w:ind w:firstLine="397"/>
        <w:jc w:val="both"/>
        <w:rPr>
          <w:rFonts w:asciiTheme="majorHAnsi" w:hAnsiTheme="majorHAnsi"/>
          <w:noProof/>
          <w:sz w:val="20"/>
          <w:szCs w:val="20"/>
          <w:lang w:eastAsia="en-US"/>
        </w:rPr>
      </w:pPr>
      <w:r w:rsidRPr="00972D81">
        <w:rPr>
          <w:rFonts w:asciiTheme="majorHAnsi" w:hAnsiTheme="majorHAnsi"/>
          <w:noProof/>
          <w:sz w:val="20"/>
          <w:szCs w:val="20"/>
          <w:lang w:eastAsia="en-US"/>
        </w:rPr>
        <w:tab/>
        <w:t xml:space="preserve">(1) </w:t>
      </w:r>
      <w:r w:rsidRPr="00972D81">
        <w:rPr>
          <w:rFonts w:asciiTheme="majorHAnsi" w:hAnsiTheme="majorHAnsi"/>
          <w:noProof/>
          <w:sz w:val="20"/>
          <w:szCs w:val="20"/>
          <w:lang w:eastAsia="en-US"/>
        </w:rPr>
        <w:tab/>
        <w:t>Curtis KA</w:t>
      </w:r>
      <w:r w:rsidR="004C61F3">
        <w:rPr>
          <w:rFonts w:asciiTheme="majorHAnsi" w:hAnsiTheme="majorHAnsi"/>
          <w:noProof/>
          <w:sz w:val="20"/>
          <w:szCs w:val="20"/>
          <w:lang w:eastAsia="en-US"/>
        </w:rPr>
        <w:t xml:space="preserve"> </w:t>
      </w:r>
      <w:r w:rsidRPr="00972D81">
        <w:rPr>
          <w:rFonts w:asciiTheme="majorHAnsi" w:hAnsiTheme="majorHAnsi"/>
          <w:noProof/>
          <w:sz w:val="20"/>
          <w:szCs w:val="20"/>
          <w:lang w:eastAsia="en-US"/>
        </w:rPr>
        <w:t>e</w:t>
      </w:r>
      <w:r w:rsidR="004C61F3">
        <w:rPr>
          <w:rFonts w:asciiTheme="majorHAnsi" w:hAnsiTheme="majorHAnsi"/>
          <w:noProof/>
          <w:sz w:val="20"/>
          <w:szCs w:val="20"/>
          <w:lang w:eastAsia="en-US"/>
        </w:rPr>
        <w:t xml:space="preserve">t </w:t>
      </w:r>
      <w:r w:rsidRPr="00972D81">
        <w:rPr>
          <w:rFonts w:asciiTheme="majorHAnsi" w:hAnsiTheme="majorHAnsi"/>
          <w:noProof/>
          <w:sz w:val="20"/>
          <w:szCs w:val="20"/>
          <w:lang w:eastAsia="en-US"/>
        </w:rPr>
        <w:t xml:space="preserve">al. </w:t>
      </w:r>
      <w:r w:rsidRPr="00972D81">
        <w:rPr>
          <w:rFonts w:asciiTheme="majorHAnsi" w:hAnsiTheme="majorHAnsi"/>
          <w:i/>
          <w:noProof/>
          <w:sz w:val="20"/>
          <w:szCs w:val="20"/>
          <w:lang w:eastAsia="en-US"/>
        </w:rPr>
        <w:t>Shoulder pain in wheelchair users with tetraplegia and paraplegia</w:t>
      </w:r>
      <w:r w:rsidRPr="00972D81">
        <w:rPr>
          <w:rFonts w:asciiTheme="majorHAnsi" w:hAnsiTheme="majorHAnsi"/>
          <w:noProof/>
          <w:sz w:val="20"/>
          <w:szCs w:val="20"/>
          <w:lang w:eastAsia="en-US"/>
        </w:rPr>
        <w:t xml:space="preserve">. Arch Phys Med Rehabil 80[4], 453-457. 1-1-1999. </w:t>
      </w:r>
    </w:p>
    <w:p w:rsidR="00DC3C07" w:rsidRPr="00972D81" w:rsidRDefault="00DC3C07" w:rsidP="00ED3C60">
      <w:pPr>
        <w:tabs>
          <w:tab w:val="right" w:pos="540"/>
          <w:tab w:val="left" w:pos="720"/>
        </w:tabs>
        <w:ind w:firstLine="397"/>
        <w:jc w:val="both"/>
        <w:rPr>
          <w:rFonts w:asciiTheme="majorHAnsi" w:hAnsiTheme="majorHAnsi"/>
          <w:noProof/>
          <w:sz w:val="20"/>
          <w:szCs w:val="20"/>
          <w:u w:val="single"/>
          <w:lang w:eastAsia="en-US"/>
        </w:rPr>
      </w:pPr>
      <w:r w:rsidRPr="00972D81">
        <w:rPr>
          <w:rFonts w:asciiTheme="majorHAnsi" w:hAnsiTheme="majorHAnsi"/>
          <w:noProof/>
          <w:sz w:val="20"/>
          <w:szCs w:val="20"/>
          <w:lang w:eastAsia="en-US"/>
        </w:rPr>
        <w:tab/>
        <w:t xml:space="preserve">(2) </w:t>
      </w:r>
      <w:r w:rsidRPr="00972D81">
        <w:rPr>
          <w:rFonts w:asciiTheme="majorHAnsi" w:hAnsiTheme="majorHAnsi"/>
          <w:noProof/>
          <w:sz w:val="20"/>
          <w:szCs w:val="20"/>
          <w:lang w:eastAsia="en-US"/>
        </w:rPr>
        <w:tab/>
        <w:t xml:space="preserve">Wills G, Grange S. </w:t>
      </w:r>
      <w:r w:rsidRPr="00972D81">
        <w:rPr>
          <w:rFonts w:asciiTheme="majorHAnsi" w:hAnsiTheme="majorHAnsi" w:cs="Calibri"/>
          <w:noProof/>
          <w:sz w:val="20"/>
          <w:szCs w:val="20"/>
          <w:lang w:eastAsia="en-US"/>
        </w:rPr>
        <w:t>Virtual Research Integration and Collaboration (VRIC)</w:t>
      </w:r>
      <w:r w:rsidRPr="00972D81">
        <w:rPr>
          <w:rFonts w:asciiTheme="majorHAnsi" w:hAnsiTheme="majorHAnsi"/>
          <w:noProof/>
          <w:sz w:val="20"/>
          <w:szCs w:val="20"/>
          <w:lang w:eastAsia="en-US"/>
        </w:rPr>
        <w:t xml:space="preserve">. ECS 2010Available from: URL: </w:t>
      </w:r>
      <w:hyperlink r:id="rId12" w:history="1">
        <w:r w:rsidRPr="00972D81">
          <w:rPr>
            <w:rStyle w:val="Hyperlink"/>
            <w:rFonts w:asciiTheme="majorHAnsi" w:hAnsiTheme="majorHAnsi"/>
            <w:noProof/>
            <w:sz w:val="20"/>
            <w:szCs w:val="20"/>
            <w:lang w:eastAsia="en-US"/>
          </w:rPr>
          <w:t>www.voeu.ecs.soton.ac.uk</w:t>
        </w:r>
      </w:hyperlink>
    </w:p>
    <w:p w:rsidR="00DC3C07" w:rsidRPr="00972D81" w:rsidRDefault="00DC3C07" w:rsidP="00ED3C60">
      <w:pPr>
        <w:tabs>
          <w:tab w:val="right" w:pos="540"/>
          <w:tab w:val="left" w:pos="720"/>
        </w:tabs>
        <w:ind w:firstLine="397"/>
        <w:jc w:val="both"/>
        <w:rPr>
          <w:rFonts w:asciiTheme="majorHAnsi" w:hAnsiTheme="majorHAnsi"/>
          <w:noProof/>
          <w:sz w:val="20"/>
          <w:szCs w:val="20"/>
          <w:lang w:eastAsia="en-US"/>
        </w:rPr>
      </w:pPr>
      <w:r w:rsidRPr="00972D81">
        <w:rPr>
          <w:rFonts w:asciiTheme="majorHAnsi" w:hAnsiTheme="majorHAnsi"/>
          <w:noProof/>
          <w:sz w:val="20"/>
          <w:szCs w:val="20"/>
          <w:lang w:eastAsia="en-US"/>
        </w:rPr>
        <w:tab/>
        <w:t xml:space="preserve">(3) </w:t>
      </w:r>
      <w:r w:rsidRPr="00972D81">
        <w:rPr>
          <w:rFonts w:asciiTheme="majorHAnsi" w:hAnsiTheme="majorHAnsi"/>
          <w:noProof/>
          <w:sz w:val="20"/>
          <w:szCs w:val="20"/>
          <w:lang w:eastAsia="en-US"/>
        </w:rPr>
        <w:tab/>
        <w:t xml:space="preserve">von Tscharner V.  </w:t>
      </w:r>
      <w:r w:rsidRPr="00972D81">
        <w:rPr>
          <w:rFonts w:asciiTheme="majorHAnsi" w:hAnsiTheme="majorHAnsi"/>
          <w:i/>
          <w:noProof/>
          <w:sz w:val="20"/>
          <w:szCs w:val="20"/>
          <w:lang w:eastAsia="en-US"/>
        </w:rPr>
        <w:t>Intensity analysis in time-frequency space of surface myoelectric signals by wavelets of specified resolution.</w:t>
      </w:r>
      <w:r w:rsidRPr="00972D81">
        <w:rPr>
          <w:rFonts w:asciiTheme="majorHAnsi" w:hAnsiTheme="majorHAnsi"/>
          <w:noProof/>
          <w:sz w:val="20"/>
          <w:szCs w:val="20"/>
          <w:lang w:eastAsia="en-US"/>
        </w:rPr>
        <w:t xml:space="preserve"> J Electromyogr Kinesiol, 10[6], 433-445. 2000. </w:t>
      </w:r>
    </w:p>
    <w:p w:rsidR="00DC3C07" w:rsidRPr="00972D81" w:rsidRDefault="00DC3C07" w:rsidP="00ED3C60">
      <w:pPr>
        <w:tabs>
          <w:tab w:val="right" w:pos="540"/>
          <w:tab w:val="left" w:pos="720"/>
        </w:tabs>
        <w:ind w:firstLine="397"/>
        <w:jc w:val="both"/>
        <w:rPr>
          <w:rFonts w:asciiTheme="majorHAnsi" w:hAnsiTheme="majorHAnsi"/>
          <w:noProof/>
          <w:sz w:val="20"/>
          <w:szCs w:val="20"/>
          <w:lang w:eastAsia="en-US"/>
        </w:rPr>
      </w:pPr>
      <w:r w:rsidRPr="00972D81">
        <w:rPr>
          <w:rFonts w:asciiTheme="majorHAnsi" w:hAnsiTheme="majorHAnsi"/>
          <w:noProof/>
          <w:sz w:val="20"/>
          <w:szCs w:val="20"/>
          <w:lang w:eastAsia="en-US"/>
        </w:rPr>
        <w:tab/>
        <w:t xml:space="preserve">(4) </w:t>
      </w:r>
      <w:r w:rsidRPr="00972D81">
        <w:rPr>
          <w:rFonts w:asciiTheme="majorHAnsi" w:hAnsiTheme="majorHAnsi"/>
          <w:noProof/>
          <w:sz w:val="20"/>
          <w:szCs w:val="20"/>
          <w:lang w:eastAsia="en-US"/>
        </w:rPr>
        <w:tab/>
        <w:t xml:space="preserve">Kulig Keal.  </w:t>
      </w:r>
      <w:r w:rsidRPr="00972D81">
        <w:rPr>
          <w:rFonts w:asciiTheme="majorHAnsi" w:hAnsiTheme="majorHAnsi"/>
          <w:i/>
          <w:noProof/>
          <w:sz w:val="20"/>
          <w:szCs w:val="20"/>
          <w:lang w:eastAsia="en-US"/>
        </w:rPr>
        <w:t>Shoulder joint kinetics during the push phase of wheelchair propulsion</w:t>
      </w:r>
      <w:r w:rsidRPr="00972D81">
        <w:rPr>
          <w:rFonts w:asciiTheme="majorHAnsi" w:hAnsiTheme="majorHAnsi"/>
          <w:noProof/>
          <w:sz w:val="20"/>
          <w:szCs w:val="20"/>
          <w:lang w:eastAsia="en-US"/>
        </w:rPr>
        <w:t xml:space="preserve">. Clin Orthop Relat Res, [354], 132-143. 1998. </w:t>
      </w:r>
    </w:p>
    <w:p w:rsidR="00DC3C07" w:rsidRPr="00972D81" w:rsidRDefault="00DC3C07" w:rsidP="00ED3C60">
      <w:pPr>
        <w:tabs>
          <w:tab w:val="right" w:pos="540"/>
          <w:tab w:val="left" w:pos="720"/>
        </w:tabs>
        <w:ind w:firstLine="397"/>
        <w:jc w:val="both"/>
        <w:rPr>
          <w:rFonts w:asciiTheme="majorHAnsi" w:hAnsiTheme="majorHAnsi"/>
          <w:noProof/>
          <w:sz w:val="20"/>
          <w:szCs w:val="20"/>
          <w:lang w:eastAsia="en-US"/>
        </w:rPr>
      </w:pPr>
      <w:r w:rsidRPr="00972D81">
        <w:rPr>
          <w:rFonts w:asciiTheme="majorHAnsi" w:hAnsiTheme="majorHAnsi"/>
          <w:noProof/>
          <w:sz w:val="20"/>
          <w:szCs w:val="20"/>
          <w:lang w:eastAsia="en-US"/>
        </w:rPr>
        <w:tab/>
        <w:t xml:space="preserve">(5) </w:t>
      </w:r>
      <w:r w:rsidRPr="00972D81">
        <w:rPr>
          <w:rFonts w:asciiTheme="majorHAnsi" w:hAnsiTheme="majorHAnsi"/>
          <w:noProof/>
          <w:sz w:val="20"/>
          <w:szCs w:val="20"/>
          <w:lang w:eastAsia="en-US"/>
        </w:rPr>
        <w:tab/>
        <w:t xml:space="preserve">Veeger </w:t>
      </w:r>
      <w:r w:rsidR="006D4458">
        <w:rPr>
          <w:rFonts w:asciiTheme="majorHAnsi" w:hAnsiTheme="majorHAnsi"/>
          <w:noProof/>
          <w:sz w:val="20"/>
          <w:szCs w:val="20"/>
          <w:lang w:eastAsia="en-US"/>
        </w:rPr>
        <w:t>et al</w:t>
      </w:r>
      <w:r w:rsidRPr="00972D81">
        <w:rPr>
          <w:rFonts w:asciiTheme="majorHAnsi" w:hAnsiTheme="majorHAnsi"/>
          <w:noProof/>
          <w:sz w:val="20"/>
          <w:szCs w:val="20"/>
          <w:lang w:eastAsia="en-US"/>
        </w:rPr>
        <w:t xml:space="preserve">. </w:t>
      </w:r>
      <w:r w:rsidRPr="00972D81">
        <w:rPr>
          <w:rFonts w:asciiTheme="majorHAnsi" w:hAnsiTheme="majorHAnsi"/>
          <w:i/>
          <w:noProof/>
          <w:sz w:val="20"/>
          <w:szCs w:val="20"/>
          <w:lang w:eastAsia="en-US"/>
        </w:rPr>
        <w:t>Load on the shoulder in low intensity wheelchair propulsion.</w:t>
      </w:r>
      <w:r w:rsidRPr="00972D81">
        <w:rPr>
          <w:rFonts w:asciiTheme="majorHAnsi" w:hAnsiTheme="majorHAnsi"/>
          <w:noProof/>
          <w:sz w:val="20"/>
          <w:szCs w:val="20"/>
          <w:lang w:eastAsia="en-US"/>
        </w:rPr>
        <w:t xml:space="preserve">  Clin Biomech (Bristol, Avon), 17[3], 211-218. 2002. </w:t>
      </w:r>
    </w:p>
    <w:p w:rsidR="00DC3C07" w:rsidRPr="00972D81" w:rsidRDefault="00DC3C07" w:rsidP="00ED3C60">
      <w:pPr>
        <w:tabs>
          <w:tab w:val="right" w:pos="540"/>
          <w:tab w:val="left" w:pos="720"/>
        </w:tabs>
        <w:ind w:firstLine="397"/>
        <w:jc w:val="both"/>
        <w:rPr>
          <w:rFonts w:asciiTheme="majorHAnsi" w:hAnsiTheme="majorHAnsi"/>
          <w:noProof/>
          <w:sz w:val="20"/>
          <w:szCs w:val="20"/>
          <w:lang w:eastAsia="en-US"/>
        </w:rPr>
      </w:pPr>
      <w:r w:rsidRPr="00972D81">
        <w:rPr>
          <w:rFonts w:asciiTheme="majorHAnsi" w:hAnsiTheme="majorHAnsi"/>
          <w:noProof/>
          <w:sz w:val="20"/>
          <w:szCs w:val="20"/>
          <w:lang w:eastAsia="en-US"/>
        </w:rPr>
        <w:tab/>
        <w:t xml:space="preserve">(6) </w:t>
      </w:r>
      <w:r w:rsidRPr="00972D81">
        <w:rPr>
          <w:rFonts w:asciiTheme="majorHAnsi" w:hAnsiTheme="majorHAnsi"/>
          <w:noProof/>
          <w:sz w:val="20"/>
          <w:szCs w:val="20"/>
          <w:lang w:eastAsia="en-US"/>
        </w:rPr>
        <w:tab/>
        <w:t xml:space="preserve">Lin HTeal. </w:t>
      </w:r>
      <w:r w:rsidRPr="00972D81">
        <w:rPr>
          <w:rFonts w:asciiTheme="majorHAnsi" w:hAnsiTheme="majorHAnsi"/>
          <w:i/>
          <w:noProof/>
          <w:sz w:val="20"/>
          <w:szCs w:val="20"/>
          <w:lang w:eastAsia="en-US"/>
        </w:rPr>
        <w:t>Muscle forces analysis in the shoulder mechanism during wheelchair propulsion.</w:t>
      </w:r>
      <w:r w:rsidRPr="00972D81">
        <w:rPr>
          <w:rFonts w:asciiTheme="majorHAnsi" w:hAnsiTheme="majorHAnsi"/>
          <w:noProof/>
          <w:sz w:val="20"/>
          <w:szCs w:val="20"/>
          <w:lang w:eastAsia="en-US"/>
        </w:rPr>
        <w:t xml:space="preserve">   Proc Inst Mech Eng H, 218[4], 213-221. 2004. </w:t>
      </w:r>
    </w:p>
    <w:p w:rsidR="00DC3C07" w:rsidRPr="00972D81" w:rsidRDefault="00DC3C07" w:rsidP="00ED3C60">
      <w:pPr>
        <w:tabs>
          <w:tab w:val="right" w:pos="540"/>
          <w:tab w:val="left" w:pos="720"/>
        </w:tabs>
        <w:ind w:firstLine="397"/>
        <w:jc w:val="both"/>
        <w:rPr>
          <w:rFonts w:asciiTheme="majorHAnsi" w:hAnsiTheme="majorHAnsi"/>
          <w:noProof/>
          <w:sz w:val="20"/>
          <w:szCs w:val="20"/>
          <w:lang w:eastAsia="en-US"/>
        </w:rPr>
      </w:pPr>
      <w:r w:rsidRPr="00972D81">
        <w:rPr>
          <w:rFonts w:asciiTheme="majorHAnsi" w:hAnsiTheme="majorHAnsi"/>
          <w:noProof/>
          <w:sz w:val="20"/>
          <w:szCs w:val="20"/>
          <w:lang w:eastAsia="en-US"/>
        </w:rPr>
        <w:tab/>
        <w:t xml:space="preserve">(7) </w:t>
      </w:r>
      <w:r w:rsidRPr="00972D81">
        <w:rPr>
          <w:rFonts w:asciiTheme="majorHAnsi" w:hAnsiTheme="majorHAnsi"/>
          <w:noProof/>
          <w:sz w:val="20"/>
          <w:szCs w:val="20"/>
          <w:lang w:eastAsia="en-US"/>
        </w:rPr>
        <w:tab/>
        <w:t>Mulroy SJ</w:t>
      </w:r>
      <w:r w:rsidR="006D4458">
        <w:rPr>
          <w:rFonts w:asciiTheme="majorHAnsi" w:hAnsiTheme="majorHAnsi"/>
          <w:noProof/>
          <w:sz w:val="20"/>
          <w:szCs w:val="20"/>
          <w:lang w:eastAsia="en-US"/>
        </w:rPr>
        <w:t xml:space="preserve"> </w:t>
      </w:r>
      <w:r w:rsidRPr="00972D81">
        <w:rPr>
          <w:rFonts w:asciiTheme="majorHAnsi" w:hAnsiTheme="majorHAnsi"/>
          <w:noProof/>
          <w:sz w:val="20"/>
          <w:szCs w:val="20"/>
          <w:lang w:eastAsia="en-US"/>
        </w:rPr>
        <w:t>e</w:t>
      </w:r>
      <w:r w:rsidR="006D4458">
        <w:rPr>
          <w:rFonts w:asciiTheme="majorHAnsi" w:hAnsiTheme="majorHAnsi"/>
          <w:noProof/>
          <w:sz w:val="20"/>
          <w:szCs w:val="20"/>
          <w:lang w:eastAsia="en-US"/>
        </w:rPr>
        <w:t xml:space="preserve">t </w:t>
      </w:r>
      <w:r w:rsidRPr="00972D81">
        <w:rPr>
          <w:rFonts w:asciiTheme="majorHAnsi" w:hAnsiTheme="majorHAnsi"/>
          <w:noProof/>
          <w:sz w:val="20"/>
          <w:szCs w:val="20"/>
          <w:lang w:eastAsia="en-US"/>
        </w:rPr>
        <w:t xml:space="preserve">al.  </w:t>
      </w:r>
      <w:r w:rsidRPr="00972D81">
        <w:rPr>
          <w:rFonts w:asciiTheme="majorHAnsi" w:hAnsiTheme="majorHAnsi"/>
          <w:i/>
          <w:noProof/>
          <w:sz w:val="20"/>
          <w:szCs w:val="20"/>
          <w:lang w:eastAsia="en-US"/>
        </w:rPr>
        <w:t>Electromyographic activity of shoulder muscles during wheelchair propulsion by paraplegic persons.</w:t>
      </w:r>
      <w:r w:rsidRPr="00972D81">
        <w:rPr>
          <w:rFonts w:asciiTheme="majorHAnsi" w:hAnsiTheme="majorHAnsi"/>
          <w:noProof/>
          <w:sz w:val="20"/>
          <w:szCs w:val="20"/>
          <w:lang w:eastAsia="en-US"/>
        </w:rPr>
        <w:t xml:space="preserve">  Arch Phys Med Rehabil, 77[2], 187-193. 1996. </w:t>
      </w:r>
    </w:p>
    <w:p w:rsidR="00DC3C07" w:rsidRPr="00972D81" w:rsidRDefault="00DC3C07" w:rsidP="00ED3C60">
      <w:pPr>
        <w:tabs>
          <w:tab w:val="right" w:pos="540"/>
          <w:tab w:val="left" w:pos="720"/>
        </w:tabs>
        <w:ind w:firstLine="397"/>
        <w:jc w:val="both"/>
        <w:rPr>
          <w:rFonts w:asciiTheme="majorHAnsi" w:hAnsiTheme="majorHAnsi"/>
          <w:noProof/>
          <w:sz w:val="20"/>
          <w:szCs w:val="20"/>
          <w:lang w:eastAsia="en-US"/>
        </w:rPr>
      </w:pPr>
      <w:r w:rsidRPr="00972D81">
        <w:rPr>
          <w:rFonts w:asciiTheme="majorHAnsi" w:hAnsiTheme="majorHAnsi"/>
          <w:noProof/>
          <w:sz w:val="20"/>
          <w:szCs w:val="20"/>
          <w:lang w:eastAsia="en-US"/>
        </w:rPr>
        <w:tab/>
        <w:t xml:space="preserve">(8) </w:t>
      </w:r>
      <w:r w:rsidRPr="00972D81">
        <w:rPr>
          <w:rFonts w:asciiTheme="majorHAnsi" w:hAnsiTheme="majorHAnsi"/>
          <w:noProof/>
          <w:sz w:val="20"/>
          <w:szCs w:val="20"/>
          <w:lang w:eastAsia="en-US"/>
        </w:rPr>
        <w:tab/>
        <w:t>Mulroy SJ</w:t>
      </w:r>
      <w:r w:rsidR="006D4458">
        <w:rPr>
          <w:rFonts w:asciiTheme="majorHAnsi" w:hAnsiTheme="majorHAnsi"/>
          <w:noProof/>
          <w:sz w:val="20"/>
          <w:szCs w:val="20"/>
          <w:lang w:eastAsia="en-US"/>
        </w:rPr>
        <w:t xml:space="preserve"> </w:t>
      </w:r>
      <w:r w:rsidRPr="00972D81">
        <w:rPr>
          <w:rFonts w:asciiTheme="majorHAnsi" w:hAnsiTheme="majorHAnsi"/>
          <w:noProof/>
          <w:sz w:val="20"/>
          <w:szCs w:val="20"/>
          <w:lang w:eastAsia="en-US"/>
        </w:rPr>
        <w:t>e</w:t>
      </w:r>
      <w:r w:rsidR="006D4458">
        <w:rPr>
          <w:rFonts w:asciiTheme="majorHAnsi" w:hAnsiTheme="majorHAnsi"/>
          <w:noProof/>
          <w:sz w:val="20"/>
          <w:szCs w:val="20"/>
          <w:lang w:eastAsia="en-US"/>
        </w:rPr>
        <w:t xml:space="preserve">t </w:t>
      </w:r>
      <w:r w:rsidRPr="00972D81">
        <w:rPr>
          <w:rFonts w:asciiTheme="majorHAnsi" w:hAnsiTheme="majorHAnsi"/>
          <w:noProof/>
          <w:sz w:val="20"/>
          <w:szCs w:val="20"/>
          <w:lang w:eastAsia="en-US"/>
        </w:rPr>
        <w:t xml:space="preserve">al.  </w:t>
      </w:r>
      <w:r w:rsidRPr="00972D81">
        <w:rPr>
          <w:rFonts w:asciiTheme="majorHAnsi" w:hAnsiTheme="majorHAnsi"/>
          <w:i/>
          <w:noProof/>
          <w:sz w:val="20"/>
          <w:szCs w:val="20"/>
          <w:lang w:eastAsia="en-US"/>
        </w:rPr>
        <w:t>Effects of spinal cord injury level on the activity of shoulder muscles during wheelchair propulsion: an electromyographic study.</w:t>
      </w:r>
      <w:r w:rsidRPr="00972D81">
        <w:rPr>
          <w:rFonts w:asciiTheme="majorHAnsi" w:hAnsiTheme="majorHAnsi"/>
          <w:noProof/>
          <w:sz w:val="20"/>
          <w:szCs w:val="20"/>
          <w:lang w:eastAsia="en-US"/>
        </w:rPr>
        <w:t xml:space="preserve">  Arch Phys Med Rehabil, 85[6], 925-934. 2004. </w:t>
      </w:r>
    </w:p>
    <w:p w:rsidR="00DC3C07" w:rsidRPr="00972D81" w:rsidRDefault="00DC3C07" w:rsidP="00ED3C60">
      <w:pPr>
        <w:tabs>
          <w:tab w:val="right" w:pos="540"/>
          <w:tab w:val="left" w:pos="720"/>
        </w:tabs>
        <w:ind w:firstLine="397"/>
        <w:jc w:val="both"/>
        <w:rPr>
          <w:rFonts w:asciiTheme="majorHAnsi" w:hAnsiTheme="majorHAnsi"/>
          <w:noProof/>
          <w:sz w:val="20"/>
          <w:szCs w:val="20"/>
          <w:lang w:eastAsia="en-US"/>
        </w:rPr>
      </w:pPr>
      <w:r w:rsidRPr="00972D81">
        <w:rPr>
          <w:rFonts w:asciiTheme="majorHAnsi" w:hAnsiTheme="majorHAnsi"/>
          <w:noProof/>
          <w:sz w:val="20"/>
          <w:szCs w:val="20"/>
          <w:lang w:eastAsia="en-US"/>
        </w:rPr>
        <w:tab/>
        <w:t xml:space="preserve">(9) </w:t>
      </w:r>
      <w:r w:rsidRPr="00972D81">
        <w:rPr>
          <w:rFonts w:asciiTheme="majorHAnsi" w:hAnsiTheme="majorHAnsi"/>
          <w:noProof/>
          <w:sz w:val="20"/>
          <w:szCs w:val="20"/>
          <w:lang w:eastAsia="en-US"/>
        </w:rPr>
        <w:tab/>
        <w:t xml:space="preserve">Richter WMealS. </w:t>
      </w:r>
      <w:r w:rsidRPr="00972D81">
        <w:rPr>
          <w:rFonts w:asciiTheme="majorHAnsi" w:hAnsiTheme="majorHAnsi"/>
          <w:i/>
          <w:noProof/>
          <w:sz w:val="20"/>
          <w:szCs w:val="20"/>
          <w:lang w:eastAsia="en-US"/>
        </w:rPr>
        <w:t>Stroke pattern and handrim biomechanics for level and uphill wheelchair propulsion at self-selected speeds.</w:t>
      </w:r>
      <w:r w:rsidRPr="00972D81">
        <w:rPr>
          <w:rFonts w:asciiTheme="majorHAnsi" w:hAnsiTheme="majorHAnsi"/>
          <w:noProof/>
          <w:sz w:val="20"/>
          <w:szCs w:val="20"/>
          <w:lang w:eastAsia="en-US"/>
        </w:rPr>
        <w:t xml:space="preserve">  Arch Phys Med Rehabil, 88[1], 81-87. 2007. </w:t>
      </w:r>
    </w:p>
    <w:p w:rsidR="00DC3C07" w:rsidRPr="00972D81" w:rsidRDefault="00DC3C07" w:rsidP="00ED3C60">
      <w:pPr>
        <w:tabs>
          <w:tab w:val="right" w:pos="540"/>
          <w:tab w:val="left" w:pos="720"/>
        </w:tabs>
        <w:ind w:firstLine="397"/>
        <w:jc w:val="both"/>
        <w:rPr>
          <w:rFonts w:asciiTheme="majorHAnsi" w:hAnsiTheme="majorHAnsi"/>
          <w:noProof/>
          <w:sz w:val="20"/>
          <w:szCs w:val="20"/>
          <w:lang w:eastAsia="en-US"/>
        </w:rPr>
      </w:pPr>
      <w:r w:rsidRPr="00972D81">
        <w:rPr>
          <w:rFonts w:asciiTheme="majorHAnsi" w:hAnsiTheme="majorHAnsi"/>
          <w:noProof/>
          <w:sz w:val="20"/>
          <w:szCs w:val="20"/>
          <w:lang w:eastAsia="en-US"/>
        </w:rPr>
        <w:tab/>
        <w:t xml:space="preserve">(10) </w:t>
      </w:r>
      <w:r w:rsidRPr="00972D81">
        <w:rPr>
          <w:rFonts w:asciiTheme="majorHAnsi" w:hAnsiTheme="majorHAnsi"/>
          <w:noProof/>
          <w:sz w:val="20"/>
          <w:szCs w:val="20"/>
          <w:lang w:eastAsia="en-US"/>
        </w:rPr>
        <w:tab/>
        <w:t xml:space="preserve">Sabick et al.  </w:t>
      </w:r>
      <w:r w:rsidRPr="00972D81">
        <w:rPr>
          <w:rFonts w:asciiTheme="majorHAnsi" w:hAnsiTheme="majorHAnsi"/>
          <w:i/>
          <w:noProof/>
          <w:sz w:val="20"/>
          <w:szCs w:val="20"/>
          <w:lang w:eastAsia="en-US"/>
        </w:rPr>
        <w:t>A new method to quantify demand on the upper extremity during manual wheelchair propulsion.</w:t>
      </w:r>
      <w:r w:rsidRPr="00972D81">
        <w:rPr>
          <w:rFonts w:asciiTheme="majorHAnsi" w:hAnsiTheme="majorHAnsi"/>
          <w:noProof/>
          <w:sz w:val="20"/>
          <w:szCs w:val="20"/>
          <w:lang w:eastAsia="en-US"/>
        </w:rPr>
        <w:t xml:space="preserve">  Arch Phys Med Rehabil, 85[7], 1151-1159. 2004. </w:t>
      </w:r>
    </w:p>
    <w:p w:rsidR="000F5825" w:rsidRDefault="00DC3C07" w:rsidP="00ED3C60">
      <w:pPr>
        <w:tabs>
          <w:tab w:val="right" w:pos="540"/>
          <w:tab w:val="left" w:pos="720"/>
        </w:tabs>
        <w:ind w:firstLine="397"/>
        <w:jc w:val="both"/>
        <w:rPr>
          <w:rFonts w:asciiTheme="majorHAnsi" w:eastAsiaTheme="minorEastAsia" w:hAnsiTheme="majorHAnsi" w:cs="Arial"/>
          <w:color w:val="0000FF"/>
          <w:sz w:val="20"/>
          <w:szCs w:val="20"/>
          <w:u w:val="single"/>
          <w:lang w:val="en-GB"/>
        </w:rPr>
      </w:pPr>
      <w:r w:rsidRPr="00972D81">
        <w:rPr>
          <w:rFonts w:asciiTheme="majorHAnsi" w:hAnsiTheme="majorHAnsi"/>
          <w:noProof/>
          <w:sz w:val="20"/>
          <w:szCs w:val="20"/>
          <w:lang w:eastAsia="en-US"/>
        </w:rPr>
        <w:tab/>
        <w:t xml:space="preserve">(11) </w:t>
      </w:r>
      <w:r w:rsidRPr="00972D81">
        <w:rPr>
          <w:rFonts w:asciiTheme="majorHAnsi" w:hAnsiTheme="majorHAnsi"/>
          <w:noProof/>
          <w:sz w:val="20"/>
          <w:szCs w:val="20"/>
          <w:lang w:eastAsia="en-US"/>
        </w:rPr>
        <w:tab/>
        <w:t xml:space="preserve">Darwin Quote.  2012. </w:t>
      </w:r>
      <w:r w:rsidR="003916F0" w:rsidRPr="00972D81">
        <w:rPr>
          <w:rFonts w:asciiTheme="majorHAnsi" w:hAnsiTheme="majorHAnsi" w:cs="AdvTimes"/>
          <w:sz w:val="20"/>
          <w:szCs w:val="20"/>
          <w:lang w:eastAsia="en-US"/>
        </w:rPr>
        <w:fldChar w:fldCharType="end"/>
      </w:r>
      <w:r w:rsidR="00972D81" w:rsidRPr="00972D81">
        <w:rPr>
          <w:rFonts w:asciiTheme="majorHAnsi" w:eastAsiaTheme="minorEastAsia" w:hAnsiTheme="majorHAnsi" w:cs="Arial"/>
          <w:color w:val="0000FF"/>
          <w:sz w:val="20"/>
          <w:szCs w:val="20"/>
          <w:u w:val="single"/>
          <w:lang w:val="en-GB"/>
        </w:rPr>
        <w:t xml:space="preserve"> </w:t>
      </w:r>
      <w:hyperlink r:id="rId13" w:history="1">
        <w:r w:rsidR="00D32B60" w:rsidRPr="00680EA2">
          <w:rPr>
            <w:rStyle w:val="Hyperlink"/>
            <w:rFonts w:asciiTheme="majorHAnsi" w:eastAsiaTheme="minorEastAsia" w:hAnsiTheme="majorHAnsi" w:cs="Arial"/>
            <w:sz w:val="20"/>
            <w:szCs w:val="20"/>
            <w:lang w:val="en-GB"/>
          </w:rPr>
          <w:t>http://www.darwin-literature.com/l_quotes.html</w:t>
        </w:r>
      </w:hyperlink>
    </w:p>
    <w:p w:rsidR="00D32B60" w:rsidRDefault="00D32B60" w:rsidP="00ED3C60">
      <w:pPr>
        <w:tabs>
          <w:tab w:val="right" w:pos="540"/>
          <w:tab w:val="left" w:pos="720"/>
        </w:tabs>
        <w:ind w:firstLine="397"/>
        <w:jc w:val="both"/>
        <w:rPr>
          <w:rFonts w:asciiTheme="majorHAnsi" w:eastAsiaTheme="minorEastAsia" w:hAnsiTheme="majorHAnsi" w:cs="Arial"/>
          <w:color w:val="0000FF"/>
          <w:sz w:val="20"/>
          <w:szCs w:val="20"/>
          <w:u w:val="single"/>
          <w:lang w:val="en-GB"/>
        </w:rPr>
      </w:pPr>
    </w:p>
    <w:p w:rsidR="00D32B60" w:rsidRPr="00206859" w:rsidRDefault="00D32B60" w:rsidP="00D32B60">
      <w:pPr>
        <w:rPr>
          <w:b/>
          <w:sz w:val="20"/>
        </w:rPr>
      </w:pPr>
      <w:r w:rsidRPr="00206859">
        <w:rPr>
          <w:b/>
          <w:sz w:val="20"/>
        </w:rPr>
        <w:t>Author’s Address</w:t>
      </w:r>
    </w:p>
    <w:p w:rsidR="00D32B60" w:rsidRPr="00D32B60" w:rsidRDefault="00D32B60" w:rsidP="00D32B60">
      <w:pPr>
        <w:rPr>
          <w:rFonts w:cs="AdvTimes"/>
          <w:sz w:val="20"/>
          <w:lang w:eastAsia="en-US"/>
        </w:rPr>
      </w:pPr>
      <w:r w:rsidRPr="00D32B60">
        <w:rPr>
          <w:rFonts w:cs="AdvTimes"/>
          <w:sz w:val="20"/>
          <w:lang w:eastAsia="en-US"/>
        </w:rPr>
        <w:t>Simon AW Grange</w:t>
      </w:r>
    </w:p>
    <w:p w:rsidR="00D32B60" w:rsidRPr="00D32B60" w:rsidRDefault="00D32B60" w:rsidP="00D32B60">
      <w:pPr>
        <w:rPr>
          <w:rFonts w:cs="AdvTimes"/>
          <w:sz w:val="20"/>
          <w:lang w:eastAsia="en-US"/>
        </w:rPr>
      </w:pPr>
      <w:r w:rsidRPr="00D32B60">
        <w:rPr>
          <w:rFonts w:cs="AdvTimes"/>
          <w:sz w:val="20"/>
          <w:lang w:eastAsia="en-US"/>
        </w:rPr>
        <w:t>Adj. Assoc. Prof. Faculty of Rehabilitation Medicine</w:t>
      </w:r>
    </w:p>
    <w:p w:rsidR="00D32B60" w:rsidRPr="00D32B60" w:rsidRDefault="00D32B60" w:rsidP="00D32B60">
      <w:pPr>
        <w:rPr>
          <w:rFonts w:cs="AdvTimes"/>
          <w:sz w:val="20"/>
          <w:lang w:eastAsia="en-US"/>
        </w:rPr>
      </w:pPr>
      <w:r w:rsidRPr="00D32B60">
        <w:rPr>
          <w:rFonts w:cs="AdvTimes"/>
          <w:sz w:val="20"/>
          <w:lang w:eastAsia="en-US"/>
        </w:rPr>
        <w:t xml:space="preserve">grange@ualberta.ca </w:t>
      </w:r>
    </w:p>
    <w:sectPr w:rsidR="00D32B60" w:rsidRPr="00D32B60" w:rsidSect="00A3745F">
      <w:type w:val="continuous"/>
      <w:pgSz w:w="12240" w:h="15840"/>
      <w:pgMar w:top="1440" w:right="1080" w:bottom="1440" w:left="108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F1F" w:rsidRDefault="00426F1F" w:rsidP="009709D4">
      <w:r>
        <w:separator/>
      </w:r>
    </w:p>
  </w:endnote>
  <w:endnote w:type="continuationSeparator" w:id="0">
    <w:p w:rsidR="00426F1F" w:rsidRDefault="00426F1F" w:rsidP="009709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dvTimes">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3876417"/>
      <w:docPartObj>
        <w:docPartGallery w:val="Page Numbers (Bottom of Page)"/>
        <w:docPartUnique/>
      </w:docPartObj>
    </w:sdtPr>
    <w:sdtEndPr>
      <w:rPr>
        <w:noProof/>
      </w:rPr>
    </w:sdtEndPr>
    <w:sdtContent>
      <w:p w:rsidR="00EC116D" w:rsidRDefault="003916F0">
        <w:pPr>
          <w:pStyle w:val="Footer"/>
          <w:jc w:val="right"/>
        </w:pPr>
        <w:fldSimple w:instr=" PAGE   \* MERGEFORMAT ">
          <w:r w:rsidR="00B96A0B">
            <w:rPr>
              <w:noProof/>
            </w:rPr>
            <w:t>2</w:t>
          </w:r>
        </w:fldSimple>
      </w:p>
    </w:sdtContent>
  </w:sdt>
  <w:p w:rsidR="00EC116D" w:rsidRDefault="00EC11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F1F" w:rsidRDefault="00426F1F" w:rsidP="009709D4">
      <w:r>
        <w:separator/>
      </w:r>
    </w:p>
  </w:footnote>
  <w:footnote w:type="continuationSeparator" w:id="0">
    <w:p w:rsidR="00426F1F" w:rsidRDefault="00426F1F" w:rsidP="009709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E7AA3"/>
    <w:multiLevelType w:val="hybridMultilevel"/>
    <w:tmpl w:val="3BA2FF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E075B3E"/>
    <w:multiLevelType w:val="hybridMultilevel"/>
    <w:tmpl w:val="78E2EB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grammar="clean"/>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useFELayout/>
  </w:compat>
  <w:docVars>
    <w:docVar w:name="EN.InstantFormat" w:val="&lt;ENInstantFormat&gt;&lt;Enabled&gt;1&lt;/Enabled&gt;&lt;ScanUnformatted&gt;1&lt;/ScanUnformatted&gt;&lt;ScanChanges&gt;1&lt;/ScanChanges&gt;&lt;/ENInstantFormat&gt;"/>
    <w:docVar w:name="EN.Layout" w:val="&lt;ENLayout&gt;&lt;Style&gt;Numbered&lt;/Style&gt;&lt;LeftDelim&gt;{&lt;/LeftDelim&gt;&lt;RightDelim&gt;}&lt;/RightDelim&gt;&lt;FontName&gt;Cambria&lt;/FontName&gt;&lt;FontSize&gt;10&lt;/FontSize&gt;&lt;ReflistTitle&gt;References&lt;/ReflistTitle&gt;&lt;StartingRefnum&gt;1&lt;/StartingRefnum&gt;&lt;FirstLineIndent&gt;0&lt;/FirstLineIndent&gt;&lt;HangingIndent&gt;720&lt;/HangingIndent&gt;&lt;LineSpacing&gt;0&lt;/LineSpacing&gt;&lt;SpaceAfter&gt;0&lt;/SpaceAfter&gt;&lt;/ENLayout&gt;"/>
    <w:docVar w:name="EN.Libraries" w:val="&lt;ENLibraries&gt;&lt;Libraries&gt;&lt;item&gt;IsoM.enl&lt;/item&gt;&lt;/Libraries&gt;&lt;/ENLibraries&gt;"/>
    <w:docVar w:name="REFMGR.InstantFormat" w:val="&lt;ENInstantFormat&gt;&lt;Enabled&gt;1&lt;/Enabled&gt;&lt;ScanUnformatted&gt;1&lt;/ScanUnformatted&gt;&lt;ScanChanges&gt;1&lt;/ScanChanges&gt;&lt;/ENInstantFormat&gt;"/>
    <w:docVar w:name="REFMGR.Libraries" w:val="&lt;ENLibraries&gt;&lt;Libraries&gt;&lt;item&gt;PowerWheel_FDP1_20100825&lt;/item&gt;&lt;item&gt;powerwheel_fdp1&lt;/item&gt;&lt;/Libraries&gt;&lt;/ENLibraries&gt;"/>
  </w:docVars>
  <w:rsids>
    <w:rsidRoot w:val="00CD402B"/>
    <w:rsid w:val="00045A0A"/>
    <w:rsid w:val="00076AA7"/>
    <w:rsid w:val="00077DB6"/>
    <w:rsid w:val="000D5616"/>
    <w:rsid w:val="000E6270"/>
    <w:rsid w:val="000F5825"/>
    <w:rsid w:val="00103EB7"/>
    <w:rsid w:val="00113764"/>
    <w:rsid w:val="00136029"/>
    <w:rsid w:val="00137A01"/>
    <w:rsid w:val="00180DFE"/>
    <w:rsid w:val="001A0CAE"/>
    <w:rsid w:val="001B66E3"/>
    <w:rsid w:val="001F1C1D"/>
    <w:rsid w:val="001F6B32"/>
    <w:rsid w:val="00206859"/>
    <w:rsid w:val="002210AE"/>
    <w:rsid w:val="00270C6A"/>
    <w:rsid w:val="002739B0"/>
    <w:rsid w:val="00276B25"/>
    <w:rsid w:val="002B054F"/>
    <w:rsid w:val="002D5B2D"/>
    <w:rsid w:val="002E732B"/>
    <w:rsid w:val="00316A41"/>
    <w:rsid w:val="003916F0"/>
    <w:rsid w:val="003B5C79"/>
    <w:rsid w:val="00422ED7"/>
    <w:rsid w:val="00426F1F"/>
    <w:rsid w:val="00437C23"/>
    <w:rsid w:val="00464DA9"/>
    <w:rsid w:val="00481EE7"/>
    <w:rsid w:val="004C61F3"/>
    <w:rsid w:val="00502332"/>
    <w:rsid w:val="00537CC0"/>
    <w:rsid w:val="005760B9"/>
    <w:rsid w:val="005F6D6A"/>
    <w:rsid w:val="006437CE"/>
    <w:rsid w:val="00660E2D"/>
    <w:rsid w:val="006B3C59"/>
    <w:rsid w:val="006D4458"/>
    <w:rsid w:val="0078668E"/>
    <w:rsid w:val="007B310F"/>
    <w:rsid w:val="007C56A4"/>
    <w:rsid w:val="007D57B4"/>
    <w:rsid w:val="008033BE"/>
    <w:rsid w:val="008155F5"/>
    <w:rsid w:val="00872926"/>
    <w:rsid w:val="00885661"/>
    <w:rsid w:val="009272B4"/>
    <w:rsid w:val="009316D5"/>
    <w:rsid w:val="009709D4"/>
    <w:rsid w:val="00972D81"/>
    <w:rsid w:val="00974A58"/>
    <w:rsid w:val="009D2971"/>
    <w:rsid w:val="009D7744"/>
    <w:rsid w:val="009F2447"/>
    <w:rsid w:val="00A21DFD"/>
    <w:rsid w:val="00A27B1E"/>
    <w:rsid w:val="00A33BD8"/>
    <w:rsid w:val="00A3745F"/>
    <w:rsid w:val="00A51064"/>
    <w:rsid w:val="00A91163"/>
    <w:rsid w:val="00AF2167"/>
    <w:rsid w:val="00AF5DFE"/>
    <w:rsid w:val="00B01A46"/>
    <w:rsid w:val="00B37A21"/>
    <w:rsid w:val="00B510C1"/>
    <w:rsid w:val="00B64A80"/>
    <w:rsid w:val="00B96A0B"/>
    <w:rsid w:val="00BA1C0B"/>
    <w:rsid w:val="00BA76ED"/>
    <w:rsid w:val="00BE59F1"/>
    <w:rsid w:val="00C06F3D"/>
    <w:rsid w:val="00C16E44"/>
    <w:rsid w:val="00CA5D24"/>
    <w:rsid w:val="00CC5761"/>
    <w:rsid w:val="00CD402B"/>
    <w:rsid w:val="00D32B60"/>
    <w:rsid w:val="00D65CDF"/>
    <w:rsid w:val="00DA7F69"/>
    <w:rsid w:val="00DC3C07"/>
    <w:rsid w:val="00DE0924"/>
    <w:rsid w:val="00E049B6"/>
    <w:rsid w:val="00E40F9E"/>
    <w:rsid w:val="00EB399A"/>
    <w:rsid w:val="00EC116D"/>
    <w:rsid w:val="00ED3C60"/>
    <w:rsid w:val="00EF4E03"/>
    <w:rsid w:val="00F12441"/>
    <w:rsid w:val="00F177E4"/>
    <w:rsid w:val="00F740BB"/>
    <w:rsid w:val="00F848D1"/>
    <w:rsid w:val="00FB5D24"/>
    <w:rsid w:val="00FB6AB4"/>
    <w:rsid w:val="00FE425E"/>
    <w:rsid w:val="00FE4588"/>
    <w:rsid w:val="00FE4CA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02B"/>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uiPriority w:val="9"/>
    <w:qFormat/>
    <w:rsid w:val="00D32B6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E0924"/>
    <w:pPr>
      <w:spacing w:before="320" w:line="360" w:lineRule="auto"/>
      <w:outlineLvl w:val="1"/>
    </w:pPr>
    <w:rPr>
      <w:rFonts w:asciiTheme="majorHAnsi" w:eastAsiaTheme="majorEastAsia" w:hAnsiTheme="majorHAnsi" w:cstheme="majorBidi"/>
      <w:b/>
      <w:bCs/>
      <w:i/>
      <w:iCs/>
      <w:sz w:val="28"/>
      <w:szCs w:val="28"/>
      <w:lang w:eastAsia="en-US" w:bidi="en-US"/>
    </w:rPr>
  </w:style>
  <w:style w:type="paragraph" w:styleId="Heading3">
    <w:name w:val="heading 3"/>
    <w:basedOn w:val="Normal"/>
    <w:next w:val="Normal"/>
    <w:link w:val="Heading3Char"/>
    <w:uiPriority w:val="9"/>
    <w:unhideWhenUsed/>
    <w:qFormat/>
    <w:rsid w:val="00DE0924"/>
    <w:pPr>
      <w:spacing w:before="320" w:line="360" w:lineRule="auto"/>
      <w:outlineLvl w:val="2"/>
    </w:pPr>
    <w:rPr>
      <w:rFonts w:asciiTheme="majorHAnsi" w:eastAsiaTheme="majorEastAsia" w:hAnsiTheme="majorHAnsi" w:cstheme="majorBidi"/>
      <w:b/>
      <w:bCs/>
      <w:i/>
      <w:iCs/>
      <w:sz w:val="26"/>
      <w:szCs w:val="26"/>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09D4"/>
    <w:pPr>
      <w:tabs>
        <w:tab w:val="center" w:pos="4680"/>
        <w:tab w:val="right" w:pos="9360"/>
      </w:tabs>
    </w:pPr>
  </w:style>
  <w:style w:type="character" w:customStyle="1" w:styleId="HeaderChar">
    <w:name w:val="Header Char"/>
    <w:basedOn w:val="DefaultParagraphFont"/>
    <w:link w:val="Header"/>
    <w:uiPriority w:val="99"/>
    <w:rsid w:val="009709D4"/>
    <w:rPr>
      <w:rFonts w:ascii="Times New Roman" w:eastAsia="SimSun" w:hAnsi="Times New Roman" w:cs="Times New Roman"/>
      <w:sz w:val="24"/>
      <w:szCs w:val="24"/>
    </w:rPr>
  </w:style>
  <w:style w:type="paragraph" w:styleId="Footer">
    <w:name w:val="footer"/>
    <w:basedOn w:val="Normal"/>
    <w:link w:val="FooterChar"/>
    <w:uiPriority w:val="99"/>
    <w:unhideWhenUsed/>
    <w:rsid w:val="009709D4"/>
    <w:pPr>
      <w:tabs>
        <w:tab w:val="center" w:pos="4680"/>
        <w:tab w:val="right" w:pos="9360"/>
      </w:tabs>
    </w:pPr>
  </w:style>
  <w:style w:type="character" w:customStyle="1" w:styleId="FooterChar">
    <w:name w:val="Footer Char"/>
    <w:basedOn w:val="DefaultParagraphFont"/>
    <w:link w:val="Footer"/>
    <w:uiPriority w:val="99"/>
    <w:rsid w:val="009709D4"/>
    <w:rPr>
      <w:rFonts w:ascii="Times New Roman" w:eastAsia="SimSun" w:hAnsi="Times New Roman" w:cs="Times New Roman"/>
      <w:sz w:val="24"/>
      <w:szCs w:val="24"/>
    </w:rPr>
  </w:style>
  <w:style w:type="paragraph" w:styleId="BalloonText">
    <w:name w:val="Balloon Text"/>
    <w:basedOn w:val="Normal"/>
    <w:link w:val="BalloonTextChar"/>
    <w:uiPriority w:val="99"/>
    <w:semiHidden/>
    <w:unhideWhenUsed/>
    <w:rsid w:val="00AF2167"/>
    <w:rPr>
      <w:rFonts w:ascii="Tahoma" w:hAnsi="Tahoma" w:cs="Tahoma"/>
      <w:sz w:val="16"/>
      <w:szCs w:val="16"/>
    </w:rPr>
  </w:style>
  <w:style w:type="character" w:customStyle="1" w:styleId="BalloonTextChar">
    <w:name w:val="Balloon Text Char"/>
    <w:basedOn w:val="DefaultParagraphFont"/>
    <w:link w:val="BalloonText"/>
    <w:uiPriority w:val="99"/>
    <w:semiHidden/>
    <w:rsid w:val="00AF2167"/>
    <w:rPr>
      <w:rFonts w:ascii="Tahoma" w:eastAsia="SimSun" w:hAnsi="Tahoma" w:cs="Tahoma"/>
      <w:sz w:val="16"/>
      <w:szCs w:val="16"/>
    </w:rPr>
  </w:style>
  <w:style w:type="paragraph" w:styleId="ListParagraph">
    <w:name w:val="List Paragraph"/>
    <w:basedOn w:val="Normal"/>
    <w:uiPriority w:val="34"/>
    <w:qFormat/>
    <w:rsid w:val="003B5C79"/>
    <w:pPr>
      <w:ind w:left="720"/>
      <w:contextualSpacing/>
    </w:pPr>
  </w:style>
  <w:style w:type="character" w:styleId="CommentReference">
    <w:name w:val="annotation reference"/>
    <w:basedOn w:val="DefaultParagraphFont"/>
    <w:uiPriority w:val="99"/>
    <w:semiHidden/>
    <w:unhideWhenUsed/>
    <w:rsid w:val="00F740BB"/>
    <w:rPr>
      <w:sz w:val="16"/>
      <w:szCs w:val="16"/>
    </w:rPr>
  </w:style>
  <w:style w:type="paragraph" w:styleId="CommentText">
    <w:name w:val="annotation text"/>
    <w:basedOn w:val="Normal"/>
    <w:link w:val="CommentTextChar"/>
    <w:uiPriority w:val="99"/>
    <w:semiHidden/>
    <w:unhideWhenUsed/>
    <w:rsid w:val="00F740BB"/>
    <w:rPr>
      <w:sz w:val="20"/>
      <w:szCs w:val="20"/>
    </w:rPr>
  </w:style>
  <w:style w:type="character" w:customStyle="1" w:styleId="CommentTextChar">
    <w:name w:val="Comment Text Char"/>
    <w:basedOn w:val="DefaultParagraphFont"/>
    <w:link w:val="CommentText"/>
    <w:uiPriority w:val="99"/>
    <w:semiHidden/>
    <w:rsid w:val="00F740BB"/>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740BB"/>
    <w:rPr>
      <w:b/>
      <w:bCs/>
    </w:rPr>
  </w:style>
  <w:style w:type="character" w:customStyle="1" w:styleId="CommentSubjectChar">
    <w:name w:val="Comment Subject Char"/>
    <w:basedOn w:val="CommentTextChar"/>
    <w:link w:val="CommentSubject"/>
    <w:uiPriority w:val="99"/>
    <w:semiHidden/>
    <w:rsid w:val="00F740BB"/>
    <w:rPr>
      <w:b/>
      <w:bCs/>
    </w:rPr>
  </w:style>
  <w:style w:type="paragraph" w:styleId="Caption">
    <w:name w:val="caption"/>
    <w:basedOn w:val="Normal"/>
    <w:next w:val="Normal"/>
    <w:uiPriority w:val="99"/>
    <w:qFormat/>
    <w:rsid w:val="0078668E"/>
    <w:pPr>
      <w:keepLines/>
      <w:autoSpaceDE w:val="0"/>
      <w:autoSpaceDN w:val="0"/>
      <w:adjustRightInd w:val="0"/>
      <w:spacing w:before="120" w:after="120"/>
    </w:pPr>
    <w:rPr>
      <w:rFonts w:eastAsiaTheme="minorEastAsia"/>
      <w:noProof/>
      <w:lang w:val="en-GB" w:eastAsia="en-GB"/>
    </w:rPr>
  </w:style>
  <w:style w:type="character" w:customStyle="1" w:styleId="Heading2Char">
    <w:name w:val="Heading 2 Char"/>
    <w:basedOn w:val="DefaultParagraphFont"/>
    <w:link w:val="Heading2"/>
    <w:uiPriority w:val="9"/>
    <w:rsid w:val="00DE0924"/>
    <w:rPr>
      <w:rFonts w:asciiTheme="majorHAnsi" w:eastAsiaTheme="majorEastAsia" w:hAnsiTheme="majorHAnsi" w:cstheme="majorBidi"/>
      <w:b/>
      <w:bCs/>
      <w:i/>
      <w:iCs/>
      <w:sz w:val="28"/>
      <w:szCs w:val="28"/>
      <w:lang w:eastAsia="en-US" w:bidi="en-US"/>
    </w:rPr>
  </w:style>
  <w:style w:type="character" w:customStyle="1" w:styleId="Heading3Char">
    <w:name w:val="Heading 3 Char"/>
    <w:basedOn w:val="DefaultParagraphFont"/>
    <w:link w:val="Heading3"/>
    <w:uiPriority w:val="9"/>
    <w:rsid w:val="00DE0924"/>
    <w:rPr>
      <w:rFonts w:asciiTheme="majorHAnsi" w:eastAsiaTheme="majorEastAsia" w:hAnsiTheme="majorHAnsi" w:cstheme="majorBidi"/>
      <w:b/>
      <w:bCs/>
      <w:i/>
      <w:iCs/>
      <w:sz w:val="26"/>
      <w:szCs w:val="26"/>
      <w:lang w:eastAsia="en-US" w:bidi="en-US"/>
    </w:rPr>
  </w:style>
  <w:style w:type="paragraph" w:styleId="Quote">
    <w:name w:val="Quote"/>
    <w:basedOn w:val="Normal"/>
    <w:next w:val="Normal"/>
    <w:link w:val="QuoteChar"/>
    <w:uiPriority w:val="29"/>
    <w:qFormat/>
    <w:rsid w:val="00E40F9E"/>
    <w:rPr>
      <w:i/>
      <w:iCs/>
      <w:color w:val="000000" w:themeColor="text1"/>
    </w:rPr>
  </w:style>
  <w:style w:type="character" w:customStyle="1" w:styleId="QuoteChar">
    <w:name w:val="Quote Char"/>
    <w:basedOn w:val="DefaultParagraphFont"/>
    <w:link w:val="Quote"/>
    <w:uiPriority w:val="29"/>
    <w:rsid w:val="00E40F9E"/>
    <w:rPr>
      <w:rFonts w:ascii="Times New Roman" w:eastAsia="SimSun" w:hAnsi="Times New Roman" w:cs="Times New Roman"/>
      <w:i/>
      <w:iCs/>
      <w:color w:val="000000" w:themeColor="text1"/>
      <w:sz w:val="24"/>
      <w:szCs w:val="24"/>
    </w:rPr>
  </w:style>
  <w:style w:type="character" w:styleId="Hyperlink">
    <w:name w:val="Hyperlink"/>
    <w:basedOn w:val="DefaultParagraphFont"/>
    <w:uiPriority w:val="99"/>
    <w:unhideWhenUsed/>
    <w:rsid w:val="00DC3C07"/>
    <w:rPr>
      <w:color w:val="0000FF" w:themeColor="hyperlink"/>
      <w:u w:val="single"/>
    </w:rPr>
  </w:style>
  <w:style w:type="paragraph" w:styleId="NoSpacing">
    <w:name w:val="No Spacing"/>
    <w:link w:val="NoSpacingChar"/>
    <w:uiPriority w:val="1"/>
    <w:qFormat/>
    <w:rsid w:val="007B310F"/>
    <w:pPr>
      <w:spacing w:after="0" w:line="240" w:lineRule="auto"/>
    </w:pPr>
    <w:rPr>
      <w:lang w:eastAsia="en-US"/>
    </w:rPr>
  </w:style>
  <w:style w:type="character" w:customStyle="1" w:styleId="NoSpacingChar">
    <w:name w:val="No Spacing Char"/>
    <w:basedOn w:val="DefaultParagraphFont"/>
    <w:link w:val="NoSpacing"/>
    <w:uiPriority w:val="1"/>
    <w:rsid w:val="007B310F"/>
    <w:rPr>
      <w:lang w:eastAsia="en-US"/>
    </w:rPr>
  </w:style>
  <w:style w:type="paragraph" w:styleId="Title">
    <w:name w:val="Title"/>
    <w:basedOn w:val="Normal"/>
    <w:next w:val="Normal"/>
    <w:link w:val="TitleChar"/>
    <w:uiPriority w:val="10"/>
    <w:qFormat/>
    <w:rsid w:val="007B310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B310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E049B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E049B6"/>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D32B6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02B"/>
    <w:pPr>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09D4"/>
    <w:pPr>
      <w:tabs>
        <w:tab w:val="center" w:pos="4680"/>
        <w:tab w:val="right" w:pos="9360"/>
      </w:tabs>
    </w:pPr>
  </w:style>
  <w:style w:type="character" w:customStyle="1" w:styleId="HeaderChar">
    <w:name w:val="Header Char"/>
    <w:basedOn w:val="DefaultParagraphFont"/>
    <w:link w:val="Header"/>
    <w:uiPriority w:val="99"/>
    <w:rsid w:val="009709D4"/>
    <w:rPr>
      <w:rFonts w:ascii="Times New Roman" w:eastAsia="SimSun" w:hAnsi="Times New Roman" w:cs="Times New Roman"/>
      <w:sz w:val="24"/>
      <w:szCs w:val="24"/>
    </w:rPr>
  </w:style>
  <w:style w:type="paragraph" w:styleId="Footer">
    <w:name w:val="footer"/>
    <w:basedOn w:val="Normal"/>
    <w:link w:val="FooterChar"/>
    <w:uiPriority w:val="99"/>
    <w:unhideWhenUsed/>
    <w:rsid w:val="009709D4"/>
    <w:pPr>
      <w:tabs>
        <w:tab w:val="center" w:pos="4680"/>
        <w:tab w:val="right" w:pos="9360"/>
      </w:tabs>
    </w:pPr>
  </w:style>
  <w:style w:type="character" w:customStyle="1" w:styleId="FooterChar">
    <w:name w:val="Footer Char"/>
    <w:basedOn w:val="DefaultParagraphFont"/>
    <w:link w:val="Footer"/>
    <w:uiPriority w:val="99"/>
    <w:rsid w:val="009709D4"/>
    <w:rPr>
      <w:rFonts w:ascii="Times New Roman" w:eastAsia="SimSun" w:hAnsi="Times New Roman" w:cs="Times New Roman"/>
      <w:sz w:val="24"/>
      <w:szCs w:val="24"/>
    </w:rPr>
  </w:style>
  <w:style w:type="paragraph" w:styleId="BalloonText">
    <w:name w:val="Balloon Text"/>
    <w:basedOn w:val="Normal"/>
    <w:link w:val="BalloonTextChar"/>
    <w:uiPriority w:val="99"/>
    <w:semiHidden/>
    <w:unhideWhenUsed/>
    <w:rsid w:val="00AF2167"/>
    <w:rPr>
      <w:rFonts w:ascii="Tahoma" w:hAnsi="Tahoma" w:cs="Tahoma"/>
      <w:sz w:val="16"/>
      <w:szCs w:val="16"/>
    </w:rPr>
  </w:style>
  <w:style w:type="character" w:customStyle="1" w:styleId="BalloonTextChar">
    <w:name w:val="Balloon Text Char"/>
    <w:basedOn w:val="DefaultParagraphFont"/>
    <w:link w:val="BalloonText"/>
    <w:uiPriority w:val="99"/>
    <w:semiHidden/>
    <w:rsid w:val="00AF2167"/>
    <w:rPr>
      <w:rFonts w:ascii="Tahoma" w:eastAsia="SimSun" w:hAnsi="Tahoma" w:cs="Tahoma"/>
      <w:sz w:val="16"/>
      <w:szCs w:val="16"/>
    </w:rPr>
  </w:style>
  <w:style w:type="paragraph" w:styleId="ListParagraph">
    <w:name w:val="List Paragraph"/>
    <w:basedOn w:val="Normal"/>
    <w:uiPriority w:val="34"/>
    <w:qFormat/>
    <w:rsid w:val="003B5C79"/>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arwin-literature.com/l_quotes.htm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voeu.ecs.soton.ac.uk" TargetMode="Externa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2012-04-17T00:00:00</PublishDate>
  <Abstract> The development of a translational research path has traditionally been a haphazard approach, filtering technologies so that the ‘best of breed’ may ultimately succeed. The conversion ratio of brilliant ideas to useful devices remains suboptimal, as many ‘fail to progress’. The reality of developing biotechnology transfer and Knowledge Transfer (KT) generally, is that the ability of multidisciplinary teams (MDT) to assimilate and then act upon information is becoming the rate limiting step for the building of complex projects. The model proposed here considers both the biological aspects of life sciences (LS) and the establishment of technology readiness for its implementation.</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4EB7E29-DBC7-4ECC-ADB3-AC74FF43D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3990</Words>
  <Characters>22746</Characters>
  <Application>Microsoft Office Word</Application>
  <DocSecurity>0</DocSecurity>
  <Lines>189</Lines>
  <Paragraphs>53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Establishing Translational Research Pipelines for Smart Devices  IFESS Paper</vt:lpstr>
      <vt:lpstr>        EMG activities</vt:lpstr>
    </vt:vector>
  </TitlesOfParts>
  <Company>University of Alberta</Company>
  <LinksUpToDate>false</LinksUpToDate>
  <CharactersWithSpaces>26683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Establishing Translational Research Pipelines for Smart Devices  IFESS Paper</dc:title>
  <dc:subject>Draft 1.1</dc:subject>
  <dc:creator>Rehab Medicine</dc:creator>
  <cp:lastModifiedBy>Simon Grange</cp:lastModifiedBy>
  <cp:revision>4</cp:revision>
  <cp:lastPrinted>2012-04-20T16:02:00Z</cp:lastPrinted>
  <dcterms:created xsi:type="dcterms:W3CDTF">2012-06-29T19:51:00Z</dcterms:created>
  <dcterms:modified xsi:type="dcterms:W3CDTF">2012-06-29T20:19:00Z</dcterms:modified>
</cp:coreProperties>
</file>